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676AE0">
      <w:pPr>
        <w:keepNext w:val="0"/>
        <w:keepLines w:val="0"/>
        <w:pageBreakBefore w:val="0"/>
        <w:widowControl/>
        <w:kinsoku w:val="0"/>
        <w:wordWrap/>
        <w:overflowPunct/>
        <w:topLinePunct w:val="0"/>
        <w:autoSpaceDE w:val="0"/>
        <w:autoSpaceDN w:val="0"/>
        <w:bidi w:val="0"/>
        <w:adjustRightInd w:val="0"/>
        <w:snapToGrid/>
        <w:spacing w:line="600" w:lineRule="exact"/>
        <w:jc w:val="center"/>
        <w:textAlignment w:val="baseline"/>
        <w:rPr>
          <w:rFonts w:ascii="方正小标宋简体" w:hAnsi="方正小标宋简体" w:eastAsia="方正小标宋简体" w:cs="方正小标宋简体"/>
          <w:spacing w:val="-2"/>
          <w:sz w:val="44"/>
          <w:szCs w:val="44"/>
          <w:lang w:eastAsia="zh-CN"/>
        </w:rPr>
      </w:pPr>
      <w:r>
        <w:rPr>
          <w:rFonts w:hint="eastAsia" w:ascii="方正小标宋简体" w:hAnsi="方正小标宋简体" w:eastAsia="方正小标宋简体" w:cs="方正小标宋简体"/>
          <w:spacing w:val="-3"/>
          <w:sz w:val="44"/>
          <w:szCs w:val="44"/>
          <w:lang w:eastAsia="zh-CN"/>
        </w:rPr>
        <w:t>202</w:t>
      </w:r>
      <w:r>
        <w:rPr>
          <w:rFonts w:hint="eastAsia" w:ascii="方正小标宋简体" w:hAnsi="方正小标宋简体" w:eastAsia="方正小标宋简体" w:cs="方正小标宋简体"/>
          <w:spacing w:val="-3"/>
          <w:sz w:val="44"/>
          <w:szCs w:val="44"/>
          <w:lang w:val="en-US" w:eastAsia="zh-CN"/>
        </w:rPr>
        <w:t>5</w:t>
      </w:r>
      <w:r>
        <w:rPr>
          <w:rFonts w:hint="eastAsia" w:ascii="方正小标宋简体" w:hAnsi="方正小标宋简体" w:eastAsia="方正小标宋简体" w:cs="方正小标宋简体"/>
          <w:spacing w:val="-3"/>
          <w:sz w:val="44"/>
          <w:szCs w:val="44"/>
          <w:lang w:eastAsia="zh-CN"/>
        </w:rPr>
        <w:t>年度南京仲裁委员会办公室</w:t>
      </w:r>
      <w:r>
        <w:rPr>
          <w:rFonts w:hint="eastAsia" w:ascii="方正小标宋简体" w:hAnsi="方正小标宋简体" w:eastAsia="方正小标宋简体" w:cs="方正小标宋简体"/>
          <w:spacing w:val="-2"/>
          <w:sz w:val="44"/>
          <w:szCs w:val="44"/>
          <w:lang w:eastAsia="zh-CN"/>
        </w:rPr>
        <w:t>部门整体</w:t>
      </w:r>
    </w:p>
    <w:p w14:paraId="16BCF489">
      <w:pPr>
        <w:keepNext w:val="0"/>
        <w:keepLines w:val="0"/>
        <w:pageBreakBefore w:val="0"/>
        <w:widowControl/>
        <w:kinsoku w:val="0"/>
        <w:wordWrap/>
        <w:overflowPunct/>
        <w:topLinePunct w:val="0"/>
        <w:autoSpaceDE w:val="0"/>
        <w:autoSpaceDN w:val="0"/>
        <w:bidi w:val="0"/>
        <w:adjustRightInd w:val="0"/>
        <w:snapToGrid/>
        <w:spacing w:line="600" w:lineRule="exact"/>
        <w:jc w:val="center"/>
        <w:textAlignment w:val="baseline"/>
        <w:rPr>
          <w:rFonts w:hint="eastAsia" w:ascii="方正小标宋简体" w:hAnsi="方正小标宋简体" w:eastAsia="方正小标宋简体" w:cs="方正小标宋简体"/>
          <w:spacing w:val="-2"/>
          <w:sz w:val="44"/>
          <w:szCs w:val="44"/>
        </w:rPr>
      </w:pPr>
      <w:r>
        <w:rPr>
          <w:rFonts w:hint="eastAsia" w:ascii="方正小标宋简体" w:hAnsi="方正小标宋简体" w:eastAsia="方正小标宋简体" w:cs="方正小标宋简体"/>
          <w:spacing w:val="-2"/>
          <w:sz w:val="44"/>
          <w:szCs w:val="44"/>
        </w:rPr>
        <w:t>绩效自评价报告</w:t>
      </w:r>
    </w:p>
    <w:p w14:paraId="5C565A3B">
      <w:pPr>
        <w:keepNext w:val="0"/>
        <w:keepLines w:val="0"/>
        <w:pageBreakBefore w:val="0"/>
        <w:widowControl/>
        <w:kinsoku w:val="0"/>
        <w:wordWrap/>
        <w:overflowPunct/>
        <w:topLinePunct w:val="0"/>
        <w:autoSpaceDE w:val="0"/>
        <w:autoSpaceDN w:val="0"/>
        <w:bidi w:val="0"/>
        <w:adjustRightInd w:val="0"/>
        <w:snapToGrid/>
        <w:spacing w:line="600" w:lineRule="exact"/>
        <w:jc w:val="center"/>
        <w:textAlignment w:val="baseline"/>
        <w:rPr>
          <w:rFonts w:hint="eastAsia" w:ascii="楷体" w:hAnsi="楷体" w:eastAsia="楷体" w:cs="楷体"/>
          <w:spacing w:val="-2"/>
          <w:sz w:val="32"/>
          <w:szCs w:val="32"/>
          <w:lang w:val="en-US" w:eastAsia="zh-CN"/>
        </w:rPr>
      </w:pPr>
      <w:r>
        <w:rPr>
          <w:rFonts w:hint="eastAsia" w:ascii="楷体" w:hAnsi="楷体" w:eastAsia="楷体" w:cs="楷体"/>
          <w:spacing w:val="-2"/>
          <w:sz w:val="32"/>
          <w:szCs w:val="32"/>
          <w:lang w:val="en-US" w:eastAsia="zh-CN"/>
        </w:rPr>
        <w:t>南京仲裁委员会办公室</w:t>
      </w:r>
    </w:p>
    <w:p w14:paraId="78673B9A">
      <w:pPr>
        <w:snapToGrid/>
        <w:spacing w:before="141"/>
        <w:ind w:left="2205" w:right="787" w:hanging="1486"/>
        <w:rPr>
          <w:rFonts w:ascii="宋体" w:hAnsi="宋体" w:eastAsia="宋体" w:cs="宋体"/>
          <w:spacing w:val="-2"/>
          <w:sz w:val="36"/>
          <w:szCs w:val="36"/>
        </w:rPr>
      </w:pPr>
    </w:p>
    <w:p w14:paraId="43360069">
      <w:pPr>
        <w:widowControl w:val="0"/>
        <w:autoSpaceDE/>
        <w:autoSpaceDN/>
        <w:spacing w:line="560" w:lineRule="exact"/>
        <w:ind w:firstLine="651" w:firstLineChars="200"/>
        <w:textAlignment w:val="auto"/>
        <w:outlineLvl w:val="0"/>
        <w:rPr>
          <w:rFonts w:ascii="黑体" w:hAnsi="黑体" w:eastAsia="黑体" w:cs="黑体"/>
          <w:sz w:val="32"/>
          <w:szCs w:val="32"/>
          <w:lang w:eastAsia="zh-CN"/>
        </w:rPr>
      </w:pPr>
      <w:r>
        <w:rPr>
          <w:rFonts w:ascii="黑体" w:hAnsi="黑体" w:eastAsia="黑体" w:cs="黑体"/>
          <w:b/>
          <w:bCs/>
          <w:spacing w:val="2"/>
          <w:sz w:val="32"/>
          <w:szCs w:val="32"/>
          <w:lang w:eastAsia="zh-CN"/>
        </w:rPr>
        <w:t>一、部门概况</w:t>
      </w:r>
    </w:p>
    <w:p w14:paraId="2448BE5F">
      <w:pPr>
        <w:widowControl w:val="0"/>
        <w:autoSpaceDE/>
        <w:autoSpaceDN/>
        <w:spacing w:line="560" w:lineRule="exact"/>
        <w:ind w:firstLine="651" w:firstLineChars="200"/>
        <w:textAlignment w:val="auto"/>
        <w:outlineLvl w:val="1"/>
        <w:rPr>
          <w:rFonts w:ascii="楷体" w:hAnsi="楷体" w:eastAsia="楷体" w:cs="楷体"/>
          <w:sz w:val="32"/>
          <w:szCs w:val="32"/>
          <w:lang w:eastAsia="zh-CN"/>
        </w:rPr>
      </w:pPr>
      <w:r>
        <w:rPr>
          <w:rFonts w:ascii="楷体" w:hAnsi="楷体" w:eastAsia="楷体" w:cs="楷体"/>
          <w:b/>
          <w:bCs/>
          <w:spacing w:val="2"/>
          <w:sz w:val="32"/>
          <w:szCs w:val="32"/>
          <w:lang w:eastAsia="zh-CN"/>
        </w:rPr>
        <w:t>（一）部门基本情况</w:t>
      </w:r>
    </w:p>
    <w:p w14:paraId="686C4300">
      <w:pPr>
        <w:pStyle w:val="3"/>
        <w:widowControl w:val="0"/>
        <w:autoSpaceDE/>
        <w:autoSpaceDN/>
        <w:spacing w:line="560" w:lineRule="exact"/>
        <w:ind w:firstLine="631" w:firstLineChars="200"/>
        <w:textAlignment w:val="auto"/>
        <w:outlineLvl w:val="2"/>
        <w:rPr>
          <w:rFonts w:hint="default"/>
          <w:sz w:val="32"/>
          <w:szCs w:val="32"/>
          <w:lang w:val="en-US" w:eastAsia="zh-CN"/>
        </w:rPr>
      </w:pPr>
      <w:r>
        <w:rPr>
          <w:b/>
          <w:bCs/>
          <w:spacing w:val="-3"/>
          <w:sz w:val="32"/>
          <w:szCs w:val="32"/>
          <w:lang w:eastAsia="zh-CN"/>
        </w:rPr>
        <w:t>1、部门职能</w:t>
      </w:r>
      <w:r>
        <w:rPr>
          <w:rFonts w:hint="eastAsia"/>
          <w:b/>
          <w:bCs/>
          <w:spacing w:val="-3"/>
          <w:sz w:val="32"/>
          <w:szCs w:val="32"/>
          <w:lang w:val="en-US" w:eastAsia="zh-CN"/>
        </w:rPr>
        <w:t xml:space="preserve">  </w:t>
      </w:r>
    </w:p>
    <w:p w14:paraId="50581EDF">
      <w:pPr>
        <w:widowControl w:val="0"/>
        <w:kinsoku/>
        <w:autoSpaceDE/>
        <w:autoSpaceDN/>
        <w:adjustRightInd/>
        <w:snapToGrid/>
        <w:spacing w:line="560" w:lineRule="exact"/>
        <w:ind w:firstLine="640" w:firstLineChars="200"/>
        <w:contextualSpacing/>
        <w:jc w:val="both"/>
        <w:textAlignment w:val="auto"/>
        <w:rPr>
          <w:rFonts w:ascii="仿宋_GB2312" w:hAnsi="仿宋_GB2312" w:eastAsia="仿宋_GB2312" w:cs="仿宋_GB2312"/>
          <w:snapToGrid/>
          <w:kern w:val="2"/>
          <w:sz w:val="32"/>
          <w:szCs w:val="32"/>
          <w:lang w:eastAsia="zh-CN"/>
        </w:rPr>
      </w:pPr>
      <w:r>
        <w:rPr>
          <w:rFonts w:hint="eastAsia" w:ascii="仿宋_GB2312" w:hAnsi="仿宋_GB2312" w:eastAsia="仿宋_GB2312" w:cs="仿宋_GB2312"/>
          <w:snapToGrid/>
          <w:kern w:val="2"/>
          <w:sz w:val="32"/>
          <w:szCs w:val="32"/>
          <w:lang w:eastAsia="zh-CN"/>
        </w:rPr>
        <w:t>南京仲裁委员会是由南京市人民政府于1998年依据《中华人民共和国仲裁法》成立的。南京仲裁委员会办公室是南京仲裁委员会的日常办事机构，为正局级全额拨款事业单位，公益二类。无下属单位。</w:t>
      </w:r>
    </w:p>
    <w:p w14:paraId="43284AC6">
      <w:pPr>
        <w:pStyle w:val="3"/>
        <w:widowControl w:val="0"/>
        <w:autoSpaceDE/>
        <w:autoSpaceDN/>
        <w:spacing w:line="560" w:lineRule="exact"/>
        <w:ind w:firstLine="640" w:firstLineChars="200"/>
        <w:textAlignment w:val="auto"/>
        <w:outlineLvl w:val="2"/>
        <w:rPr>
          <w:rFonts w:hint="eastAsia" w:ascii="仿宋_GB2312" w:hAnsi="仿宋_GB2312" w:eastAsia="仿宋_GB2312" w:cs="仿宋_GB2312"/>
          <w:snapToGrid/>
          <w:kern w:val="2"/>
          <w:sz w:val="32"/>
          <w:szCs w:val="32"/>
          <w:lang w:val="en-US" w:eastAsia="zh-CN"/>
        </w:rPr>
      </w:pPr>
      <w:r>
        <w:rPr>
          <w:rFonts w:hint="eastAsia" w:ascii="仿宋_GB2312" w:hAnsi="仿宋_GB2312" w:eastAsia="仿宋_GB2312" w:cs="仿宋_GB2312"/>
          <w:snapToGrid/>
          <w:kern w:val="2"/>
          <w:sz w:val="32"/>
          <w:szCs w:val="32"/>
          <w:lang w:eastAsia="zh-CN"/>
        </w:rPr>
        <w:t>根据《关于南京仲裁委员会办公室职能配置、内设机构和人员编制的批复》（宁编字〔</w:t>
      </w:r>
      <w:r>
        <w:rPr>
          <w:rFonts w:hint="eastAsia" w:ascii="仿宋_GB2312" w:hAnsi="仿宋_GB2312" w:eastAsia="仿宋_GB2312" w:cs="仿宋_GB2312"/>
          <w:snapToGrid/>
          <w:kern w:val="2"/>
          <w:sz w:val="32"/>
          <w:szCs w:val="32"/>
          <w:lang w:val="en-US" w:eastAsia="zh-CN"/>
        </w:rPr>
        <w:t>1998</w:t>
      </w:r>
      <w:r>
        <w:rPr>
          <w:rFonts w:hint="eastAsia" w:ascii="仿宋_GB2312" w:hAnsi="仿宋_GB2312" w:eastAsia="仿宋_GB2312" w:cs="仿宋_GB2312"/>
          <w:snapToGrid/>
          <w:kern w:val="2"/>
          <w:sz w:val="32"/>
          <w:szCs w:val="32"/>
          <w:lang w:eastAsia="zh-CN"/>
        </w:rPr>
        <w:t>〕</w:t>
      </w:r>
      <w:r>
        <w:rPr>
          <w:rFonts w:hint="eastAsia" w:ascii="仿宋_GB2312" w:hAnsi="仿宋_GB2312" w:eastAsia="仿宋_GB2312" w:cs="仿宋_GB2312"/>
          <w:snapToGrid/>
          <w:kern w:val="2"/>
          <w:sz w:val="32"/>
          <w:szCs w:val="32"/>
          <w:lang w:val="en-US" w:eastAsia="zh-CN"/>
        </w:rPr>
        <w:t>47号</w:t>
      </w:r>
      <w:r>
        <w:rPr>
          <w:rFonts w:hint="eastAsia" w:ascii="仿宋_GB2312" w:hAnsi="仿宋_GB2312" w:eastAsia="仿宋_GB2312" w:cs="仿宋_GB2312"/>
          <w:snapToGrid/>
          <w:kern w:val="2"/>
          <w:sz w:val="32"/>
          <w:szCs w:val="32"/>
          <w:lang w:eastAsia="zh-CN"/>
        </w:rPr>
        <w:t>）、《关于同意南京仲裁委员会办公室管理体制及机构编制事项调整的批复》（宁编字〔20</w:t>
      </w:r>
      <w:r>
        <w:rPr>
          <w:rFonts w:hint="eastAsia" w:ascii="仿宋_GB2312" w:hAnsi="仿宋_GB2312" w:eastAsia="仿宋_GB2312" w:cs="仿宋_GB2312"/>
          <w:snapToGrid/>
          <w:kern w:val="2"/>
          <w:sz w:val="32"/>
          <w:szCs w:val="32"/>
          <w:lang w:val="en-US" w:eastAsia="zh-CN"/>
        </w:rPr>
        <w:t>12</w:t>
      </w:r>
      <w:r>
        <w:rPr>
          <w:rFonts w:hint="eastAsia" w:ascii="仿宋_GB2312" w:hAnsi="仿宋_GB2312" w:eastAsia="仿宋_GB2312" w:cs="仿宋_GB2312"/>
          <w:snapToGrid/>
          <w:kern w:val="2"/>
          <w:sz w:val="32"/>
          <w:szCs w:val="32"/>
          <w:lang w:eastAsia="zh-CN"/>
        </w:rPr>
        <w:t>〕</w:t>
      </w:r>
      <w:r>
        <w:rPr>
          <w:rFonts w:hint="eastAsia" w:ascii="仿宋_GB2312" w:hAnsi="仿宋_GB2312" w:eastAsia="仿宋_GB2312" w:cs="仿宋_GB2312"/>
          <w:snapToGrid/>
          <w:kern w:val="2"/>
          <w:sz w:val="32"/>
          <w:szCs w:val="32"/>
          <w:lang w:val="en-US" w:eastAsia="zh-CN"/>
        </w:rPr>
        <w:t>20号</w:t>
      </w:r>
      <w:r>
        <w:rPr>
          <w:rFonts w:hint="eastAsia" w:ascii="仿宋_GB2312" w:hAnsi="仿宋_GB2312" w:eastAsia="仿宋_GB2312" w:cs="仿宋_GB2312"/>
          <w:snapToGrid/>
          <w:kern w:val="2"/>
          <w:sz w:val="32"/>
          <w:szCs w:val="32"/>
          <w:lang w:eastAsia="zh-CN"/>
        </w:rPr>
        <w:t>）、《关于同意调整南京仲裁委员会办公室机构编制事项的批复》（宁编复〔2021〕</w:t>
      </w:r>
      <w:r>
        <w:rPr>
          <w:rFonts w:hint="eastAsia" w:ascii="仿宋_GB2312" w:hAnsi="仿宋_GB2312" w:eastAsia="仿宋_GB2312" w:cs="仿宋_GB2312"/>
          <w:snapToGrid/>
          <w:kern w:val="2"/>
          <w:sz w:val="32"/>
          <w:szCs w:val="32"/>
          <w:lang w:val="en-US" w:eastAsia="zh-CN"/>
        </w:rPr>
        <w:t>7号</w:t>
      </w:r>
      <w:r>
        <w:rPr>
          <w:rFonts w:hint="eastAsia" w:ascii="仿宋_GB2312" w:hAnsi="仿宋_GB2312" w:eastAsia="仿宋_GB2312" w:cs="仿宋_GB2312"/>
          <w:snapToGrid/>
          <w:kern w:val="2"/>
          <w:sz w:val="32"/>
          <w:szCs w:val="32"/>
          <w:lang w:eastAsia="zh-CN"/>
        </w:rPr>
        <w:t>）等文件，南京仲裁委员会办公室的主要职能是承担《仲裁法》规定的平等主体的自然人、法人、非法人组织之间发生的合同纠纷和其他财产权益纠纷等仲裁案件的受理和立案审查工作；以及根据章程、规则，承担案件办理、程序管理、裁判文书核阅和仲裁过程中的其他事务性工作。</w:t>
      </w:r>
      <w:r>
        <w:rPr>
          <w:rFonts w:hint="eastAsia" w:ascii="仿宋_GB2312" w:hAnsi="仿宋_GB2312" w:eastAsia="仿宋_GB2312" w:cs="仿宋_GB2312"/>
          <w:snapToGrid/>
          <w:kern w:val="2"/>
          <w:sz w:val="32"/>
          <w:szCs w:val="32"/>
          <w:lang w:val="en-US" w:eastAsia="zh-CN"/>
        </w:rPr>
        <w:t xml:space="preserve">   </w:t>
      </w:r>
    </w:p>
    <w:p w14:paraId="6D18E80D">
      <w:pPr>
        <w:pStyle w:val="3"/>
        <w:widowControl w:val="0"/>
        <w:autoSpaceDE/>
        <w:autoSpaceDN/>
        <w:spacing w:line="560" w:lineRule="exact"/>
        <w:ind w:firstLine="631" w:firstLineChars="200"/>
        <w:textAlignment w:val="auto"/>
        <w:outlineLvl w:val="2"/>
        <w:rPr>
          <w:b/>
          <w:bCs/>
          <w:spacing w:val="-3"/>
          <w:sz w:val="32"/>
          <w:szCs w:val="32"/>
          <w:lang w:eastAsia="zh-CN"/>
        </w:rPr>
      </w:pPr>
      <w:r>
        <w:rPr>
          <w:rFonts w:hint="eastAsia"/>
          <w:b/>
          <w:bCs/>
          <w:spacing w:val="-3"/>
          <w:sz w:val="32"/>
          <w:szCs w:val="32"/>
          <w:lang w:val="en-US" w:eastAsia="zh-CN"/>
        </w:rPr>
        <w:t>2</w:t>
      </w:r>
      <w:r>
        <w:rPr>
          <w:b/>
          <w:bCs/>
          <w:spacing w:val="-3"/>
          <w:sz w:val="32"/>
          <w:szCs w:val="32"/>
          <w:lang w:eastAsia="zh-CN"/>
        </w:rPr>
        <w:t>、</w:t>
      </w:r>
      <w:r>
        <w:rPr>
          <w:rFonts w:hint="eastAsia"/>
          <w:b/>
          <w:bCs/>
          <w:spacing w:val="-3"/>
          <w:sz w:val="32"/>
          <w:szCs w:val="32"/>
          <w:lang w:eastAsia="zh-CN"/>
        </w:rPr>
        <w:t>机构设置</w:t>
      </w:r>
    </w:p>
    <w:p w14:paraId="5BAB7CD0">
      <w:pPr>
        <w:widowControl w:val="0"/>
        <w:kinsoku/>
        <w:autoSpaceDE/>
        <w:autoSpaceDN/>
        <w:adjustRightInd/>
        <w:snapToGrid/>
        <w:spacing w:line="560" w:lineRule="exact"/>
        <w:ind w:firstLine="640" w:firstLineChars="200"/>
        <w:contextualSpacing/>
        <w:jc w:val="both"/>
        <w:textAlignment w:val="auto"/>
        <w:rPr>
          <w:rFonts w:ascii="仿宋_GB2312" w:hAnsi="仿宋_GB2312" w:eastAsia="仿宋_GB2312" w:cs="仿宋_GB2312"/>
          <w:snapToGrid/>
          <w:kern w:val="2"/>
          <w:sz w:val="32"/>
          <w:szCs w:val="32"/>
          <w:lang w:eastAsia="zh-CN"/>
        </w:rPr>
      </w:pPr>
      <w:r>
        <w:rPr>
          <w:rFonts w:hint="eastAsia" w:ascii="仿宋_GB2312" w:hAnsi="仿宋_GB2312" w:eastAsia="仿宋_GB2312" w:cs="仿宋_GB2312"/>
          <w:snapToGrid/>
          <w:kern w:val="2"/>
          <w:sz w:val="32"/>
          <w:szCs w:val="32"/>
          <w:lang w:eastAsia="zh-CN"/>
        </w:rPr>
        <w:t>南京仲裁委员会办公室内设5个机构，包括：综合部、立案和发展部、案件承办一部、案件承办二部、国际仲裁部(网络仲裁部),无下属单位。</w:t>
      </w:r>
    </w:p>
    <w:p w14:paraId="7703E577">
      <w:pPr>
        <w:pStyle w:val="3"/>
        <w:widowControl w:val="0"/>
        <w:autoSpaceDE/>
        <w:autoSpaceDN/>
        <w:spacing w:line="560" w:lineRule="exact"/>
        <w:ind w:firstLine="631" w:firstLineChars="200"/>
        <w:textAlignment w:val="auto"/>
        <w:outlineLvl w:val="2"/>
        <w:rPr>
          <w:rFonts w:hint="eastAsia" w:ascii="仿宋_GB2312" w:hAnsi="仿宋_GB2312" w:eastAsia="仿宋_GB2312" w:cs="仿宋_GB2312"/>
          <w:snapToGrid/>
          <w:kern w:val="2"/>
          <w:sz w:val="32"/>
          <w:szCs w:val="32"/>
          <w:lang w:eastAsia="zh-CN"/>
        </w:rPr>
      </w:pPr>
      <w:r>
        <w:rPr>
          <w:rFonts w:hint="eastAsia"/>
          <w:b/>
          <w:bCs/>
          <w:spacing w:val="-3"/>
          <w:sz w:val="32"/>
          <w:szCs w:val="32"/>
          <w:lang w:val="en-US" w:eastAsia="zh-CN"/>
        </w:rPr>
        <w:t>3</w:t>
      </w:r>
      <w:r>
        <w:rPr>
          <w:b/>
          <w:bCs/>
          <w:spacing w:val="-3"/>
          <w:sz w:val="32"/>
          <w:szCs w:val="32"/>
          <w:lang w:eastAsia="zh-CN"/>
        </w:rPr>
        <w:t>、</w:t>
      </w:r>
      <w:r>
        <w:rPr>
          <w:rFonts w:hint="eastAsia"/>
          <w:b/>
          <w:bCs/>
          <w:spacing w:val="-3"/>
          <w:sz w:val="32"/>
          <w:szCs w:val="32"/>
          <w:lang w:eastAsia="zh-CN"/>
        </w:rPr>
        <w:t>人员配置</w:t>
      </w:r>
    </w:p>
    <w:p w14:paraId="76A9E37F">
      <w:pPr>
        <w:widowControl w:val="0"/>
        <w:kinsoku/>
        <w:autoSpaceDE/>
        <w:autoSpaceDN/>
        <w:adjustRightInd/>
        <w:snapToGrid/>
        <w:spacing w:line="560" w:lineRule="exact"/>
        <w:ind w:firstLine="640" w:firstLineChars="200"/>
        <w:contextualSpacing/>
        <w:jc w:val="both"/>
        <w:textAlignment w:val="auto"/>
        <w:rPr>
          <w:rFonts w:hint="eastAsia" w:ascii="仿宋_GB2312" w:hAnsi="仿宋_GB2312" w:eastAsia="仿宋_GB2312" w:cs="仿宋_GB2312"/>
          <w:snapToGrid/>
          <w:kern w:val="2"/>
          <w:sz w:val="32"/>
          <w:szCs w:val="32"/>
          <w:lang w:eastAsia="zh-CN"/>
        </w:rPr>
      </w:pPr>
      <w:r>
        <w:rPr>
          <w:rFonts w:hint="eastAsia" w:ascii="仿宋_GB2312" w:hAnsi="仿宋_GB2312" w:eastAsia="仿宋_GB2312" w:cs="仿宋_GB2312"/>
          <w:snapToGrid/>
          <w:kern w:val="2"/>
          <w:sz w:val="32"/>
          <w:szCs w:val="32"/>
          <w:lang w:val="en-US" w:eastAsia="zh-CN"/>
        </w:rPr>
        <w:t>2025年，南京仲裁委员会办公室核准事业编制29人。截止2025年12月，南京仲裁委员会办公室共有在职人员37人，</w:t>
      </w:r>
      <w:r>
        <w:rPr>
          <w:rFonts w:hint="eastAsia" w:ascii="仿宋_GB2312" w:hAnsi="仿宋_GB2312" w:eastAsia="仿宋_GB2312" w:cs="仿宋_GB2312"/>
          <w:snapToGrid/>
          <w:kern w:val="2"/>
          <w:sz w:val="32"/>
          <w:szCs w:val="32"/>
          <w:lang w:eastAsia="zh-CN"/>
        </w:rPr>
        <w:t>其中：事业编制2</w:t>
      </w:r>
      <w:r>
        <w:rPr>
          <w:rFonts w:hint="eastAsia" w:ascii="仿宋_GB2312" w:hAnsi="仿宋_GB2312" w:eastAsia="仿宋_GB2312" w:cs="仿宋_GB2312"/>
          <w:snapToGrid/>
          <w:kern w:val="2"/>
          <w:sz w:val="32"/>
          <w:szCs w:val="32"/>
          <w:lang w:val="en-US" w:eastAsia="zh-CN"/>
        </w:rPr>
        <w:t>9</w:t>
      </w:r>
      <w:r>
        <w:rPr>
          <w:rFonts w:hint="eastAsia" w:ascii="仿宋_GB2312" w:hAnsi="仿宋_GB2312" w:eastAsia="仿宋_GB2312" w:cs="仿宋_GB2312"/>
          <w:snapToGrid/>
          <w:kern w:val="2"/>
          <w:sz w:val="32"/>
          <w:szCs w:val="32"/>
          <w:lang w:eastAsia="zh-CN"/>
        </w:rPr>
        <w:t>人，编外员额制辅助用工</w:t>
      </w:r>
      <w:r>
        <w:rPr>
          <w:rFonts w:hint="eastAsia" w:ascii="仿宋_GB2312" w:hAnsi="仿宋_GB2312" w:eastAsia="仿宋_GB2312" w:cs="仿宋_GB2312"/>
          <w:snapToGrid/>
          <w:kern w:val="2"/>
          <w:sz w:val="32"/>
          <w:szCs w:val="32"/>
          <w:lang w:val="en-US" w:eastAsia="zh-CN"/>
        </w:rPr>
        <w:t>8</w:t>
      </w:r>
      <w:r>
        <w:rPr>
          <w:rFonts w:hint="eastAsia" w:ascii="仿宋_GB2312" w:hAnsi="仿宋_GB2312" w:eastAsia="仿宋_GB2312" w:cs="仿宋_GB2312"/>
          <w:snapToGrid/>
          <w:kern w:val="2"/>
          <w:sz w:val="32"/>
          <w:szCs w:val="32"/>
          <w:lang w:eastAsia="zh-CN"/>
        </w:rPr>
        <w:t>人；另有退休</w:t>
      </w:r>
      <w:r>
        <w:rPr>
          <w:rFonts w:hint="eastAsia" w:ascii="仿宋_GB2312" w:hAnsi="仿宋_GB2312" w:eastAsia="仿宋_GB2312" w:cs="仿宋_GB2312"/>
          <w:snapToGrid/>
          <w:kern w:val="2"/>
          <w:sz w:val="32"/>
          <w:szCs w:val="32"/>
          <w:lang w:val="en-US" w:eastAsia="zh-CN"/>
        </w:rPr>
        <w:t>3人</w:t>
      </w:r>
      <w:r>
        <w:rPr>
          <w:rFonts w:hint="eastAsia" w:ascii="仿宋_GB2312" w:hAnsi="仿宋_GB2312" w:eastAsia="仿宋_GB2312" w:cs="仿宋_GB2312"/>
          <w:snapToGrid/>
          <w:kern w:val="2"/>
          <w:sz w:val="32"/>
          <w:szCs w:val="32"/>
          <w:lang w:eastAsia="zh-CN"/>
        </w:rPr>
        <w:t>。</w:t>
      </w:r>
    </w:p>
    <w:p w14:paraId="05D19B00">
      <w:pPr>
        <w:pStyle w:val="3"/>
        <w:widowControl w:val="0"/>
        <w:autoSpaceDE/>
        <w:autoSpaceDN/>
        <w:spacing w:line="560" w:lineRule="exact"/>
        <w:ind w:firstLine="631" w:firstLineChars="200"/>
        <w:textAlignment w:val="auto"/>
        <w:outlineLvl w:val="2"/>
        <w:rPr>
          <w:rFonts w:hint="eastAsia" w:eastAsia="仿宋"/>
          <w:b/>
          <w:bCs/>
          <w:spacing w:val="-3"/>
          <w:sz w:val="32"/>
          <w:szCs w:val="32"/>
          <w:lang w:eastAsia="zh-CN"/>
        </w:rPr>
      </w:pPr>
      <w:r>
        <w:rPr>
          <w:b/>
          <w:bCs/>
          <w:spacing w:val="-3"/>
          <w:sz w:val="32"/>
          <w:szCs w:val="32"/>
        </w:rPr>
        <w:t>4、</w:t>
      </w:r>
      <w:r>
        <w:rPr>
          <w:rFonts w:hint="eastAsia"/>
          <w:b/>
          <w:bCs/>
          <w:spacing w:val="-3"/>
          <w:sz w:val="32"/>
          <w:szCs w:val="32"/>
          <w:lang w:eastAsia="zh-CN"/>
        </w:rPr>
        <w:t>部门资产</w:t>
      </w:r>
    </w:p>
    <w:p w14:paraId="3936D150">
      <w:pPr>
        <w:widowControl w:val="0"/>
        <w:kinsoku/>
        <w:autoSpaceDE/>
        <w:autoSpaceDN/>
        <w:adjustRightInd/>
        <w:snapToGrid/>
        <w:spacing w:line="560" w:lineRule="exact"/>
        <w:ind w:firstLine="640" w:firstLineChars="200"/>
        <w:contextualSpacing/>
        <w:jc w:val="both"/>
        <w:textAlignment w:val="auto"/>
        <w:rPr>
          <w:rFonts w:ascii="仿宋_GB2312" w:hAnsi="仿宋_GB2312" w:eastAsia="仿宋_GB2312" w:cs="仿宋_GB2312"/>
          <w:snapToGrid/>
          <w:kern w:val="2"/>
          <w:sz w:val="32"/>
          <w:szCs w:val="32"/>
          <w:lang w:eastAsia="zh-CN"/>
        </w:rPr>
      </w:pPr>
      <w:r>
        <w:rPr>
          <w:rFonts w:hint="eastAsia" w:ascii="仿宋_GB2312" w:hAnsi="仿宋_GB2312" w:eastAsia="仿宋_GB2312" w:cs="仿宋_GB2312"/>
          <w:snapToGrid/>
          <w:kern w:val="2"/>
          <w:sz w:val="32"/>
          <w:szCs w:val="32"/>
          <w:lang w:eastAsia="zh-CN"/>
        </w:rPr>
        <w:t>截至202</w:t>
      </w:r>
      <w:r>
        <w:rPr>
          <w:rFonts w:hint="eastAsia" w:ascii="仿宋_GB2312" w:hAnsi="仿宋_GB2312" w:eastAsia="仿宋_GB2312" w:cs="仿宋_GB2312"/>
          <w:snapToGrid/>
          <w:kern w:val="2"/>
          <w:sz w:val="32"/>
          <w:szCs w:val="32"/>
          <w:lang w:val="en-US" w:eastAsia="zh-CN"/>
        </w:rPr>
        <w:t>5</w:t>
      </w:r>
      <w:r>
        <w:rPr>
          <w:rFonts w:hint="eastAsia" w:ascii="仿宋_GB2312" w:hAnsi="仿宋_GB2312" w:eastAsia="仿宋_GB2312" w:cs="仿宋_GB2312"/>
          <w:snapToGrid/>
          <w:kern w:val="2"/>
          <w:sz w:val="32"/>
          <w:szCs w:val="32"/>
          <w:lang w:eastAsia="zh-CN"/>
        </w:rPr>
        <w:t>年12月31日，南京仲裁委员会办公室资产总额</w:t>
      </w:r>
      <w:r>
        <w:rPr>
          <w:rFonts w:hint="eastAsia" w:ascii="仿宋_GB2312" w:hAnsi="仿宋_GB2312" w:eastAsia="仿宋_GB2312" w:cs="仿宋_GB2312"/>
          <w:snapToGrid/>
          <w:kern w:val="2"/>
          <w:sz w:val="32"/>
          <w:szCs w:val="32"/>
          <w:lang w:val="en-US" w:eastAsia="zh-CN"/>
        </w:rPr>
        <w:t>294.13</w:t>
      </w:r>
      <w:r>
        <w:rPr>
          <w:rFonts w:hint="eastAsia" w:ascii="仿宋_GB2312" w:hAnsi="仿宋_GB2312" w:eastAsia="仿宋_GB2312" w:cs="仿宋_GB2312"/>
          <w:snapToGrid/>
          <w:kern w:val="2"/>
          <w:sz w:val="32"/>
          <w:szCs w:val="32"/>
          <w:lang w:eastAsia="zh-CN"/>
        </w:rPr>
        <w:t>万元，其中流动资产</w:t>
      </w:r>
      <w:r>
        <w:rPr>
          <w:rFonts w:hint="eastAsia" w:ascii="仿宋_GB2312" w:hAnsi="仿宋_GB2312" w:eastAsia="仿宋_GB2312" w:cs="仿宋_GB2312"/>
          <w:snapToGrid/>
          <w:kern w:val="2"/>
          <w:sz w:val="32"/>
          <w:szCs w:val="32"/>
          <w:lang w:val="en-US" w:eastAsia="zh-CN"/>
        </w:rPr>
        <w:t>66.17</w:t>
      </w:r>
      <w:r>
        <w:rPr>
          <w:rFonts w:hint="eastAsia" w:ascii="仿宋_GB2312" w:hAnsi="仿宋_GB2312" w:eastAsia="仿宋_GB2312" w:cs="仿宋_GB2312"/>
          <w:snapToGrid/>
          <w:kern w:val="2"/>
          <w:sz w:val="32"/>
          <w:szCs w:val="32"/>
          <w:lang w:eastAsia="zh-CN"/>
        </w:rPr>
        <w:t>万元，非流动资产</w:t>
      </w:r>
      <w:r>
        <w:rPr>
          <w:rFonts w:hint="eastAsia" w:ascii="仿宋_GB2312" w:hAnsi="仿宋_GB2312" w:eastAsia="仿宋_GB2312" w:cs="仿宋_GB2312"/>
          <w:snapToGrid/>
          <w:kern w:val="2"/>
          <w:sz w:val="32"/>
          <w:szCs w:val="32"/>
          <w:lang w:val="en-US" w:eastAsia="zh-CN"/>
        </w:rPr>
        <w:t>227.96</w:t>
      </w:r>
      <w:r>
        <w:rPr>
          <w:rFonts w:hint="eastAsia" w:ascii="仿宋_GB2312" w:hAnsi="仿宋_GB2312" w:eastAsia="仿宋_GB2312" w:cs="仿宋_GB2312"/>
          <w:snapToGrid/>
          <w:kern w:val="2"/>
          <w:sz w:val="32"/>
          <w:szCs w:val="32"/>
          <w:lang w:eastAsia="zh-CN"/>
        </w:rPr>
        <w:t>万元；固定资产原值为</w:t>
      </w:r>
      <w:r>
        <w:rPr>
          <w:rFonts w:hint="eastAsia" w:ascii="仿宋_GB2312" w:hAnsi="仿宋_GB2312" w:eastAsia="仿宋_GB2312" w:cs="仿宋_GB2312"/>
          <w:snapToGrid/>
          <w:kern w:val="2"/>
          <w:sz w:val="32"/>
          <w:szCs w:val="32"/>
          <w:lang w:val="en-US" w:eastAsia="zh-CN"/>
        </w:rPr>
        <w:t>562.22</w:t>
      </w:r>
      <w:r>
        <w:rPr>
          <w:rFonts w:hint="eastAsia" w:ascii="仿宋_GB2312" w:hAnsi="仿宋_GB2312" w:eastAsia="仿宋_GB2312" w:cs="仿宋_GB2312"/>
          <w:snapToGrid/>
          <w:kern w:val="2"/>
          <w:sz w:val="32"/>
          <w:szCs w:val="32"/>
          <w:lang w:eastAsia="zh-CN"/>
        </w:rPr>
        <w:t>万元，净值为</w:t>
      </w:r>
      <w:r>
        <w:rPr>
          <w:rFonts w:hint="eastAsia" w:ascii="仿宋_GB2312" w:hAnsi="仿宋_GB2312" w:eastAsia="仿宋_GB2312" w:cs="仿宋_GB2312"/>
          <w:snapToGrid/>
          <w:kern w:val="2"/>
          <w:sz w:val="32"/>
          <w:szCs w:val="32"/>
          <w:lang w:val="en-US" w:eastAsia="zh-CN"/>
        </w:rPr>
        <w:t>189.51</w:t>
      </w:r>
      <w:r>
        <w:rPr>
          <w:rFonts w:hint="eastAsia" w:ascii="仿宋_GB2312" w:hAnsi="仿宋_GB2312" w:eastAsia="仿宋_GB2312" w:cs="仿宋_GB2312"/>
          <w:snapToGrid/>
          <w:kern w:val="2"/>
          <w:sz w:val="32"/>
          <w:szCs w:val="32"/>
          <w:lang w:eastAsia="zh-CN"/>
        </w:rPr>
        <w:t>万元；无形资产原值为</w:t>
      </w:r>
      <w:r>
        <w:rPr>
          <w:rFonts w:hint="eastAsia" w:ascii="仿宋_GB2312" w:hAnsi="仿宋_GB2312" w:eastAsia="仿宋_GB2312" w:cs="仿宋_GB2312"/>
          <w:snapToGrid/>
          <w:kern w:val="2"/>
          <w:sz w:val="32"/>
          <w:szCs w:val="32"/>
          <w:lang w:val="en-US" w:eastAsia="zh-CN"/>
        </w:rPr>
        <w:t>102.05</w:t>
      </w:r>
      <w:r>
        <w:rPr>
          <w:rFonts w:hint="eastAsia" w:ascii="仿宋_GB2312" w:hAnsi="仿宋_GB2312" w:eastAsia="仿宋_GB2312" w:cs="仿宋_GB2312"/>
          <w:snapToGrid/>
          <w:kern w:val="2"/>
          <w:sz w:val="32"/>
          <w:szCs w:val="32"/>
          <w:lang w:eastAsia="zh-CN"/>
        </w:rPr>
        <w:t>万元，净值为</w:t>
      </w:r>
      <w:r>
        <w:rPr>
          <w:rFonts w:hint="eastAsia" w:ascii="仿宋_GB2312" w:hAnsi="仿宋_GB2312" w:eastAsia="仿宋_GB2312" w:cs="仿宋_GB2312"/>
          <w:snapToGrid/>
          <w:kern w:val="2"/>
          <w:sz w:val="32"/>
          <w:szCs w:val="32"/>
          <w:lang w:val="en-US" w:eastAsia="zh-CN"/>
        </w:rPr>
        <w:t>38.46</w:t>
      </w:r>
      <w:r>
        <w:rPr>
          <w:rFonts w:hint="eastAsia" w:ascii="仿宋_GB2312" w:hAnsi="仿宋_GB2312" w:eastAsia="仿宋_GB2312" w:cs="仿宋_GB2312"/>
          <w:snapToGrid/>
          <w:kern w:val="2"/>
          <w:sz w:val="32"/>
          <w:szCs w:val="32"/>
          <w:lang w:eastAsia="zh-CN"/>
        </w:rPr>
        <w:t>万元，为仲裁信息管理系统1套。详见表</w:t>
      </w:r>
      <w:r>
        <w:rPr>
          <w:rFonts w:hint="eastAsia" w:ascii="仿宋_GB2312" w:hAnsi="仿宋_GB2312" w:eastAsia="仿宋_GB2312" w:cs="仿宋_GB2312"/>
          <w:snapToGrid/>
          <w:kern w:val="2"/>
          <w:sz w:val="32"/>
          <w:szCs w:val="32"/>
          <w:lang w:val="en-US" w:eastAsia="zh-CN"/>
        </w:rPr>
        <w:t>1</w:t>
      </w:r>
      <w:r>
        <w:rPr>
          <w:rFonts w:hint="eastAsia" w:ascii="仿宋_GB2312" w:hAnsi="仿宋_GB2312" w:eastAsia="仿宋_GB2312" w:cs="仿宋_GB2312"/>
          <w:snapToGrid/>
          <w:kern w:val="2"/>
          <w:sz w:val="32"/>
          <w:szCs w:val="32"/>
          <w:lang w:eastAsia="zh-CN"/>
        </w:rPr>
        <w:t>：</w:t>
      </w:r>
    </w:p>
    <w:p w14:paraId="2F031C1A">
      <w:pPr>
        <w:widowControl w:val="0"/>
        <w:kinsoku/>
        <w:autoSpaceDE/>
        <w:autoSpaceDN/>
        <w:adjustRightInd/>
        <w:snapToGrid/>
        <w:spacing w:line="560" w:lineRule="exact"/>
        <w:contextualSpacing/>
        <w:jc w:val="center"/>
        <w:textAlignment w:val="auto"/>
        <w:rPr>
          <w:rFonts w:ascii="仿宋_GB2312" w:hAnsi="仿宋_GB2312" w:eastAsia="仿宋_GB2312" w:cs="仿宋_GB2312"/>
          <w:snapToGrid/>
          <w:kern w:val="2"/>
          <w:sz w:val="28"/>
          <w:szCs w:val="28"/>
          <w:lang w:eastAsia="zh-CN"/>
        </w:rPr>
      </w:pPr>
      <w:r>
        <w:rPr>
          <w:rFonts w:hint="eastAsia" w:ascii="仿宋_GB2312" w:hAnsi="仿宋_GB2312" w:eastAsia="仿宋_GB2312" w:cs="仿宋_GB2312"/>
          <w:snapToGrid/>
          <w:kern w:val="2"/>
          <w:sz w:val="28"/>
          <w:szCs w:val="28"/>
          <w:lang w:eastAsia="zh-CN"/>
        </w:rPr>
        <w:t>表</w:t>
      </w:r>
      <w:r>
        <w:rPr>
          <w:rFonts w:hint="eastAsia" w:ascii="仿宋_GB2312" w:hAnsi="仿宋_GB2312" w:eastAsia="仿宋_GB2312" w:cs="仿宋_GB2312"/>
          <w:snapToGrid/>
          <w:kern w:val="2"/>
          <w:sz w:val="28"/>
          <w:szCs w:val="28"/>
          <w:lang w:val="en-US" w:eastAsia="zh-CN"/>
        </w:rPr>
        <w:t>1</w:t>
      </w:r>
      <w:r>
        <w:rPr>
          <w:rFonts w:hint="eastAsia" w:ascii="仿宋_GB2312" w:hAnsi="仿宋_GB2312" w:eastAsia="仿宋_GB2312" w:cs="仿宋_GB2312"/>
          <w:snapToGrid/>
          <w:kern w:val="2"/>
          <w:sz w:val="28"/>
          <w:szCs w:val="28"/>
          <w:lang w:eastAsia="zh-CN"/>
        </w:rPr>
        <w:t>:202</w:t>
      </w:r>
      <w:r>
        <w:rPr>
          <w:rFonts w:hint="eastAsia" w:ascii="仿宋_GB2312" w:hAnsi="仿宋_GB2312" w:eastAsia="仿宋_GB2312" w:cs="仿宋_GB2312"/>
          <w:snapToGrid/>
          <w:kern w:val="2"/>
          <w:sz w:val="28"/>
          <w:szCs w:val="28"/>
          <w:lang w:val="en-US" w:eastAsia="zh-CN"/>
        </w:rPr>
        <w:t>5</w:t>
      </w:r>
      <w:r>
        <w:rPr>
          <w:rFonts w:hint="eastAsia" w:ascii="仿宋_GB2312" w:hAnsi="仿宋_GB2312" w:eastAsia="仿宋_GB2312" w:cs="仿宋_GB2312"/>
          <w:snapToGrid/>
          <w:kern w:val="2"/>
          <w:sz w:val="28"/>
          <w:szCs w:val="28"/>
          <w:lang w:eastAsia="zh-CN"/>
        </w:rPr>
        <w:t>年南京仲裁委员会办公室资产情况一览表</w:t>
      </w:r>
    </w:p>
    <w:tbl>
      <w:tblPr>
        <w:tblStyle w:val="10"/>
        <w:tblpPr w:leftFromText="180" w:rightFromText="180" w:vertAnchor="text" w:horzAnchor="page" w:tblpX="1762" w:tblpY="25"/>
        <w:tblOverlap w:val="never"/>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3152"/>
        <w:gridCol w:w="1749"/>
        <w:gridCol w:w="1557"/>
        <w:gridCol w:w="1982"/>
      </w:tblGrid>
      <w:tr w14:paraId="611AF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0" w:hRule="atLeast"/>
        </w:trPr>
        <w:tc>
          <w:tcPr>
            <w:tcW w:w="1867" w:type="pct"/>
            <w:shd w:val="clear" w:color="auto" w:fill="BEBEBE" w:themeFill="background1" w:themeFillShade="BF"/>
          </w:tcPr>
          <w:p w14:paraId="58041F89">
            <w:pPr>
              <w:rPr>
                <w:rFonts w:hint="eastAsia" w:ascii="仿宋" w:hAnsi="仿宋" w:eastAsia="仿宋" w:cs="仿宋"/>
                <w:sz w:val="24"/>
                <w:szCs w:val="24"/>
              </w:rPr>
            </w:pPr>
          </w:p>
        </w:tc>
        <w:tc>
          <w:tcPr>
            <w:tcW w:w="1036" w:type="pct"/>
            <w:shd w:val="clear" w:color="auto" w:fill="BEBEBE" w:themeFill="background1" w:themeFillShade="BF"/>
          </w:tcPr>
          <w:p w14:paraId="4837A5BE">
            <w:pPr>
              <w:spacing w:before="38" w:line="209" w:lineRule="auto"/>
              <w:ind w:left="122"/>
              <w:rPr>
                <w:rFonts w:hint="eastAsia" w:ascii="仿宋" w:hAnsi="仿宋" w:eastAsia="仿宋" w:cs="仿宋"/>
                <w:sz w:val="24"/>
                <w:szCs w:val="24"/>
              </w:rPr>
            </w:pPr>
            <w:r>
              <w:rPr>
                <w:rFonts w:hint="eastAsia" w:ascii="仿宋" w:hAnsi="仿宋" w:eastAsia="仿宋" w:cs="仿宋"/>
                <w:spacing w:val="-5"/>
                <w:sz w:val="24"/>
                <w:szCs w:val="24"/>
              </w:rPr>
              <w:t>原值（万元）</w:t>
            </w:r>
          </w:p>
        </w:tc>
        <w:tc>
          <w:tcPr>
            <w:tcW w:w="922" w:type="pct"/>
            <w:shd w:val="clear" w:color="auto" w:fill="BEBEBE" w:themeFill="background1" w:themeFillShade="BF"/>
          </w:tcPr>
          <w:p w14:paraId="69F47F92">
            <w:pPr>
              <w:spacing w:before="38" w:line="209" w:lineRule="auto"/>
              <w:ind w:left="119"/>
              <w:rPr>
                <w:rFonts w:hint="eastAsia" w:ascii="仿宋" w:hAnsi="仿宋" w:eastAsia="仿宋" w:cs="仿宋"/>
                <w:sz w:val="24"/>
                <w:szCs w:val="24"/>
              </w:rPr>
            </w:pPr>
            <w:r>
              <w:rPr>
                <w:rFonts w:hint="eastAsia" w:ascii="仿宋" w:hAnsi="仿宋" w:eastAsia="仿宋" w:cs="仿宋"/>
                <w:spacing w:val="-4"/>
                <w:sz w:val="24"/>
                <w:szCs w:val="24"/>
              </w:rPr>
              <w:t>净值（万元）</w:t>
            </w:r>
          </w:p>
        </w:tc>
        <w:tc>
          <w:tcPr>
            <w:tcW w:w="1174" w:type="pct"/>
            <w:shd w:val="clear" w:color="auto" w:fill="BEBEBE" w:themeFill="background1" w:themeFillShade="BF"/>
          </w:tcPr>
          <w:p w14:paraId="36AEF5D3">
            <w:pPr>
              <w:spacing w:before="38" w:line="209" w:lineRule="auto"/>
              <w:jc w:val="center"/>
              <w:rPr>
                <w:rFonts w:hint="eastAsia" w:ascii="仿宋" w:hAnsi="仿宋" w:eastAsia="仿宋" w:cs="仿宋"/>
                <w:sz w:val="24"/>
                <w:szCs w:val="24"/>
              </w:rPr>
            </w:pPr>
            <w:r>
              <w:rPr>
                <w:rFonts w:hint="eastAsia" w:ascii="仿宋" w:hAnsi="仿宋" w:eastAsia="仿宋" w:cs="仿宋"/>
                <w:spacing w:val="-7"/>
                <w:sz w:val="24"/>
                <w:szCs w:val="24"/>
                <w:lang w:eastAsia="zh-CN"/>
              </w:rPr>
              <w:t>净值</w:t>
            </w:r>
            <w:r>
              <w:rPr>
                <w:rFonts w:hint="eastAsia" w:ascii="仿宋" w:hAnsi="仿宋" w:eastAsia="仿宋" w:cs="仿宋"/>
                <w:spacing w:val="-7"/>
                <w:sz w:val="24"/>
                <w:szCs w:val="24"/>
              </w:rPr>
              <w:t>占资产比例</w:t>
            </w:r>
          </w:p>
        </w:tc>
      </w:tr>
      <w:tr w14:paraId="153C9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1" w:hRule="atLeast"/>
        </w:trPr>
        <w:tc>
          <w:tcPr>
            <w:tcW w:w="1867" w:type="pct"/>
            <w:shd w:val="clear" w:color="auto" w:fill="auto"/>
          </w:tcPr>
          <w:p w14:paraId="2D2BEB65">
            <w:pPr>
              <w:spacing w:before="55" w:line="229" w:lineRule="auto"/>
              <w:ind w:left="130"/>
              <w:rPr>
                <w:rFonts w:hint="eastAsia" w:ascii="仿宋" w:hAnsi="仿宋" w:eastAsia="仿宋" w:cs="仿宋"/>
                <w:sz w:val="24"/>
                <w:szCs w:val="24"/>
                <w:lang w:eastAsia="zh-CN"/>
              </w:rPr>
            </w:pPr>
            <w:r>
              <w:rPr>
                <w:rFonts w:hint="eastAsia" w:ascii="仿宋" w:hAnsi="仿宋" w:eastAsia="仿宋" w:cs="仿宋"/>
                <w:spacing w:val="7"/>
                <w:sz w:val="24"/>
                <w:szCs w:val="24"/>
                <w:lang w:eastAsia="zh-CN"/>
              </w:rPr>
              <w:t>1.货币资金</w:t>
            </w:r>
          </w:p>
        </w:tc>
        <w:tc>
          <w:tcPr>
            <w:tcW w:w="1036" w:type="pct"/>
            <w:shd w:val="clear" w:color="auto" w:fill="auto"/>
          </w:tcPr>
          <w:p w14:paraId="530CE278">
            <w:pPr>
              <w:pStyle w:val="11"/>
              <w:spacing w:before="79" w:line="186" w:lineRule="auto"/>
              <w:ind w:left="499"/>
              <w:rPr>
                <w:rFonts w:hint="eastAsia" w:ascii="仿宋" w:hAnsi="仿宋" w:eastAsia="仿宋" w:cs="仿宋"/>
                <w:lang w:eastAsia="zh-CN"/>
              </w:rPr>
            </w:pPr>
            <w:r>
              <w:rPr>
                <w:rFonts w:hint="eastAsia" w:ascii="仿宋" w:hAnsi="仿宋" w:eastAsia="仿宋" w:cs="仿宋"/>
                <w:spacing w:val="-1"/>
                <w:lang w:eastAsia="zh-CN"/>
              </w:rPr>
              <w:t>----</w:t>
            </w:r>
          </w:p>
        </w:tc>
        <w:tc>
          <w:tcPr>
            <w:tcW w:w="922" w:type="pct"/>
            <w:shd w:val="clear" w:color="auto" w:fill="auto"/>
          </w:tcPr>
          <w:p w14:paraId="253397F1">
            <w:pPr>
              <w:pStyle w:val="11"/>
              <w:spacing w:before="79" w:line="186" w:lineRule="auto"/>
              <w:jc w:val="center"/>
              <w:rPr>
                <w:rFonts w:hint="default" w:ascii="仿宋" w:hAnsi="仿宋" w:eastAsia="仿宋" w:cs="仿宋"/>
                <w:lang w:val="en-US" w:eastAsia="zh-CN"/>
              </w:rPr>
            </w:pPr>
            <w:r>
              <w:rPr>
                <w:rFonts w:hint="eastAsia" w:ascii="仿宋" w:hAnsi="仿宋" w:eastAsia="仿宋" w:cs="仿宋"/>
                <w:spacing w:val="-1"/>
                <w:lang w:val="en-US" w:eastAsia="zh-CN"/>
              </w:rPr>
              <w:t>65.65</w:t>
            </w:r>
          </w:p>
        </w:tc>
        <w:tc>
          <w:tcPr>
            <w:tcW w:w="1174" w:type="pct"/>
            <w:shd w:val="clear" w:color="auto" w:fill="auto"/>
          </w:tcPr>
          <w:p w14:paraId="263FDE90">
            <w:pPr>
              <w:pStyle w:val="11"/>
              <w:spacing w:before="78" w:line="186" w:lineRule="auto"/>
              <w:jc w:val="center"/>
              <w:rPr>
                <w:rFonts w:hint="eastAsia" w:ascii="仿宋" w:hAnsi="仿宋" w:eastAsia="仿宋" w:cs="仿宋"/>
              </w:rPr>
            </w:pPr>
            <w:r>
              <w:rPr>
                <w:rFonts w:hint="eastAsia" w:ascii="仿宋" w:hAnsi="仿宋" w:eastAsia="仿宋" w:cs="仿宋"/>
                <w:spacing w:val="-2"/>
                <w:lang w:val="en-US" w:eastAsia="zh-CN"/>
              </w:rPr>
              <w:t>22.32</w:t>
            </w:r>
            <w:r>
              <w:rPr>
                <w:rFonts w:hint="eastAsia" w:ascii="仿宋" w:hAnsi="仿宋" w:eastAsia="仿宋" w:cs="仿宋"/>
                <w:spacing w:val="-2"/>
              </w:rPr>
              <w:t>%</w:t>
            </w:r>
          </w:p>
        </w:tc>
      </w:tr>
      <w:tr w14:paraId="3229A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1" w:hRule="atLeast"/>
        </w:trPr>
        <w:tc>
          <w:tcPr>
            <w:tcW w:w="1867" w:type="pct"/>
            <w:shd w:val="clear" w:color="auto" w:fill="auto"/>
          </w:tcPr>
          <w:p w14:paraId="6ED97C46">
            <w:pPr>
              <w:spacing w:before="55" w:line="229" w:lineRule="auto"/>
              <w:ind w:left="130"/>
              <w:rPr>
                <w:rFonts w:hint="default" w:ascii="仿宋" w:hAnsi="仿宋" w:eastAsia="仿宋" w:cs="仿宋"/>
                <w:spacing w:val="7"/>
                <w:sz w:val="24"/>
                <w:szCs w:val="24"/>
                <w:lang w:val="en-US" w:eastAsia="zh-CN"/>
              </w:rPr>
            </w:pPr>
            <w:r>
              <w:rPr>
                <w:rFonts w:hint="eastAsia" w:ascii="仿宋" w:hAnsi="仿宋" w:eastAsia="仿宋" w:cs="仿宋"/>
                <w:spacing w:val="7"/>
                <w:sz w:val="24"/>
                <w:szCs w:val="24"/>
                <w:lang w:val="en-US" w:eastAsia="zh-CN"/>
              </w:rPr>
              <w:t>2.其他应收款净额</w:t>
            </w:r>
          </w:p>
        </w:tc>
        <w:tc>
          <w:tcPr>
            <w:tcW w:w="1036" w:type="pct"/>
            <w:shd w:val="clear" w:color="auto" w:fill="auto"/>
          </w:tcPr>
          <w:p w14:paraId="1CCDA62D">
            <w:pPr>
              <w:pStyle w:val="11"/>
              <w:spacing w:before="79" w:line="186" w:lineRule="auto"/>
              <w:ind w:left="499"/>
              <w:rPr>
                <w:rFonts w:hint="eastAsia" w:ascii="仿宋" w:hAnsi="仿宋" w:eastAsia="仿宋" w:cs="仿宋"/>
                <w:spacing w:val="-1"/>
                <w:lang w:eastAsia="zh-CN"/>
              </w:rPr>
            </w:pPr>
            <w:r>
              <w:rPr>
                <w:rFonts w:hint="eastAsia" w:ascii="仿宋" w:hAnsi="仿宋" w:eastAsia="仿宋" w:cs="仿宋"/>
                <w:spacing w:val="-1"/>
                <w:lang w:eastAsia="zh-CN"/>
              </w:rPr>
              <w:t>----</w:t>
            </w:r>
          </w:p>
        </w:tc>
        <w:tc>
          <w:tcPr>
            <w:tcW w:w="922" w:type="pct"/>
            <w:shd w:val="clear" w:color="auto" w:fill="auto"/>
          </w:tcPr>
          <w:p w14:paraId="0B4CCEB9">
            <w:pPr>
              <w:pStyle w:val="11"/>
              <w:spacing w:before="79" w:line="186" w:lineRule="auto"/>
              <w:jc w:val="center"/>
              <w:rPr>
                <w:rFonts w:hint="default" w:ascii="仿宋" w:hAnsi="仿宋" w:eastAsia="仿宋" w:cs="仿宋"/>
                <w:spacing w:val="-1"/>
                <w:lang w:val="en-US" w:eastAsia="zh-CN"/>
              </w:rPr>
            </w:pPr>
            <w:r>
              <w:rPr>
                <w:rFonts w:hint="eastAsia" w:ascii="仿宋" w:hAnsi="仿宋" w:eastAsia="仿宋" w:cs="仿宋"/>
                <w:spacing w:val="-1"/>
                <w:lang w:val="en-US" w:eastAsia="zh-CN"/>
              </w:rPr>
              <w:t>0.52</w:t>
            </w:r>
          </w:p>
        </w:tc>
        <w:tc>
          <w:tcPr>
            <w:tcW w:w="1174" w:type="pct"/>
            <w:shd w:val="clear" w:color="auto" w:fill="auto"/>
          </w:tcPr>
          <w:p w14:paraId="551CBBD8">
            <w:pPr>
              <w:pStyle w:val="11"/>
              <w:spacing w:before="78" w:line="186" w:lineRule="auto"/>
              <w:jc w:val="center"/>
              <w:rPr>
                <w:rFonts w:hint="default" w:ascii="仿宋" w:hAnsi="仿宋" w:eastAsia="仿宋" w:cs="仿宋"/>
                <w:spacing w:val="-2"/>
                <w:lang w:val="en-US" w:eastAsia="zh-CN"/>
              </w:rPr>
            </w:pPr>
            <w:r>
              <w:rPr>
                <w:rFonts w:hint="eastAsia" w:ascii="仿宋" w:hAnsi="仿宋" w:eastAsia="仿宋" w:cs="仿宋"/>
                <w:spacing w:val="-2"/>
                <w:lang w:val="en-US" w:eastAsia="zh-CN"/>
              </w:rPr>
              <w:t>0.17%</w:t>
            </w:r>
          </w:p>
        </w:tc>
      </w:tr>
      <w:tr w14:paraId="2351A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1" w:hRule="atLeast"/>
        </w:trPr>
        <w:tc>
          <w:tcPr>
            <w:tcW w:w="1867" w:type="pct"/>
            <w:shd w:val="clear" w:color="auto" w:fill="auto"/>
          </w:tcPr>
          <w:p w14:paraId="49DADAE0">
            <w:pPr>
              <w:spacing w:before="55" w:line="229" w:lineRule="auto"/>
              <w:ind w:left="130"/>
              <w:rPr>
                <w:rFonts w:hint="eastAsia" w:ascii="仿宋" w:hAnsi="仿宋" w:eastAsia="仿宋" w:cs="仿宋"/>
                <w:spacing w:val="7"/>
                <w:sz w:val="24"/>
                <w:szCs w:val="24"/>
                <w:lang w:eastAsia="zh-CN"/>
              </w:rPr>
            </w:pPr>
            <w:r>
              <w:rPr>
                <w:rFonts w:hint="eastAsia" w:ascii="仿宋" w:hAnsi="仿宋" w:eastAsia="仿宋" w:cs="仿宋"/>
                <w:spacing w:val="7"/>
                <w:sz w:val="24"/>
                <w:szCs w:val="24"/>
                <w:lang w:val="en-US" w:eastAsia="zh-CN"/>
              </w:rPr>
              <w:t>3</w:t>
            </w:r>
            <w:r>
              <w:rPr>
                <w:rFonts w:hint="eastAsia" w:ascii="仿宋" w:hAnsi="仿宋" w:eastAsia="仿宋" w:cs="仿宋"/>
                <w:spacing w:val="7"/>
                <w:sz w:val="24"/>
                <w:szCs w:val="24"/>
                <w:lang w:eastAsia="zh-CN"/>
              </w:rPr>
              <w:t>.固定资产</w:t>
            </w:r>
          </w:p>
        </w:tc>
        <w:tc>
          <w:tcPr>
            <w:tcW w:w="1036" w:type="pct"/>
            <w:shd w:val="clear" w:color="auto" w:fill="auto"/>
          </w:tcPr>
          <w:p w14:paraId="0640160B">
            <w:pPr>
              <w:pStyle w:val="11"/>
              <w:spacing w:before="79" w:line="186" w:lineRule="auto"/>
              <w:ind w:left="499"/>
              <w:rPr>
                <w:rFonts w:hint="default" w:ascii="仿宋" w:hAnsi="仿宋" w:eastAsia="仿宋" w:cs="仿宋"/>
                <w:spacing w:val="-1"/>
                <w:lang w:val="en-US" w:eastAsia="zh-CN"/>
              </w:rPr>
            </w:pPr>
            <w:r>
              <w:rPr>
                <w:rFonts w:hint="eastAsia" w:ascii="仿宋" w:hAnsi="仿宋" w:eastAsia="仿宋" w:cs="仿宋"/>
                <w:spacing w:val="-1"/>
                <w:lang w:val="en-US" w:eastAsia="zh-CN"/>
              </w:rPr>
              <w:t>562.22</w:t>
            </w:r>
          </w:p>
        </w:tc>
        <w:tc>
          <w:tcPr>
            <w:tcW w:w="922" w:type="pct"/>
            <w:shd w:val="clear" w:color="auto" w:fill="auto"/>
          </w:tcPr>
          <w:p w14:paraId="02AD3F68">
            <w:pPr>
              <w:pStyle w:val="11"/>
              <w:spacing w:before="79" w:line="186" w:lineRule="auto"/>
              <w:ind w:left="440"/>
              <w:rPr>
                <w:rFonts w:hint="default" w:ascii="仿宋" w:hAnsi="仿宋" w:eastAsia="仿宋" w:cs="仿宋"/>
                <w:spacing w:val="-1"/>
                <w:lang w:val="en-US" w:eastAsia="zh-CN"/>
              </w:rPr>
            </w:pPr>
            <w:r>
              <w:rPr>
                <w:rFonts w:hint="eastAsia" w:ascii="仿宋" w:hAnsi="仿宋" w:eastAsia="仿宋" w:cs="仿宋"/>
                <w:spacing w:val="-1"/>
                <w:lang w:val="en-US" w:eastAsia="zh-CN"/>
              </w:rPr>
              <w:t>189.5</w:t>
            </w:r>
          </w:p>
        </w:tc>
        <w:tc>
          <w:tcPr>
            <w:tcW w:w="1174" w:type="pct"/>
            <w:shd w:val="clear" w:color="auto" w:fill="auto"/>
          </w:tcPr>
          <w:p w14:paraId="788F4E1C">
            <w:pPr>
              <w:pStyle w:val="11"/>
              <w:spacing w:before="78" w:line="186" w:lineRule="auto"/>
              <w:jc w:val="center"/>
              <w:rPr>
                <w:rFonts w:hint="eastAsia" w:ascii="仿宋" w:hAnsi="仿宋" w:eastAsia="仿宋" w:cs="仿宋"/>
                <w:spacing w:val="-2"/>
                <w:lang w:val="en-US" w:eastAsia="zh-CN"/>
              </w:rPr>
            </w:pPr>
            <w:r>
              <w:rPr>
                <w:rFonts w:hint="eastAsia" w:ascii="仿宋" w:hAnsi="仿宋" w:eastAsia="仿宋" w:cs="仿宋"/>
                <w:spacing w:val="-2"/>
                <w:lang w:val="en-US" w:eastAsia="zh-CN"/>
              </w:rPr>
              <w:t>64.43%</w:t>
            </w:r>
          </w:p>
        </w:tc>
      </w:tr>
      <w:tr w14:paraId="02A48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1" w:hRule="atLeast"/>
        </w:trPr>
        <w:tc>
          <w:tcPr>
            <w:tcW w:w="1867" w:type="pct"/>
            <w:shd w:val="clear" w:color="auto" w:fill="auto"/>
          </w:tcPr>
          <w:p w14:paraId="044F2F8A">
            <w:pPr>
              <w:spacing w:before="56" w:line="230" w:lineRule="auto"/>
              <w:ind w:left="130"/>
              <w:rPr>
                <w:rFonts w:hint="eastAsia" w:ascii="仿宋" w:hAnsi="仿宋" w:eastAsia="仿宋" w:cs="仿宋"/>
                <w:sz w:val="24"/>
                <w:szCs w:val="24"/>
              </w:rPr>
            </w:pPr>
            <w:r>
              <w:rPr>
                <w:rFonts w:hint="eastAsia" w:ascii="仿宋" w:hAnsi="仿宋" w:eastAsia="仿宋" w:cs="仿宋"/>
                <w:spacing w:val="7"/>
                <w:sz w:val="24"/>
                <w:szCs w:val="24"/>
                <w:lang w:eastAsia="zh-CN"/>
              </w:rPr>
              <w:t>其中：</w:t>
            </w:r>
            <w:r>
              <w:rPr>
                <w:rFonts w:hint="eastAsia" w:ascii="仿宋" w:hAnsi="仿宋" w:eastAsia="仿宋" w:cs="仿宋"/>
                <w:spacing w:val="7"/>
                <w:sz w:val="24"/>
                <w:szCs w:val="24"/>
              </w:rPr>
              <w:t>通用设备</w:t>
            </w:r>
          </w:p>
        </w:tc>
        <w:tc>
          <w:tcPr>
            <w:tcW w:w="1036" w:type="pct"/>
            <w:shd w:val="clear" w:color="auto" w:fill="auto"/>
          </w:tcPr>
          <w:p w14:paraId="1D3746A6">
            <w:pPr>
              <w:pStyle w:val="11"/>
              <w:spacing w:before="80" w:line="186" w:lineRule="auto"/>
              <w:ind w:left="446"/>
              <w:rPr>
                <w:rFonts w:hint="default" w:ascii="仿宋" w:hAnsi="仿宋" w:eastAsia="仿宋" w:cs="仿宋"/>
                <w:lang w:val="en-US" w:eastAsia="zh-CN"/>
              </w:rPr>
            </w:pPr>
            <w:r>
              <w:rPr>
                <w:rFonts w:hint="eastAsia" w:ascii="仿宋" w:hAnsi="仿宋" w:eastAsia="仿宋" w:cs="仿宋"/>
                <w:spacing w:val="-2"/>
                <w:lang w:val="en-US" w:eastAsia="zh-CN"/>
              </w:rPr>
              <w:t>478.42</w:t>
            </w:r>
          </w:p>
        </w:tc>
        <w:tc>
          <w:tcPr>
            <w:tcW w:w="922" w:type="pct"/>
            <w:shd w:val="clear" w:color="auto" w:fill="auto"/>
          </w:tcPr>
          <w:p w14:paraId="5BA81823">
            <w:pPr>
              <w:pStyle w:val="11"/>
              <w:spacing w:before="80" w:line="186" w:lineRule="auto"/>
              <w:jc w:val="center"/>
              <w:rPr>
                <w:rFonts w:hint="default" w:ascii="仿宋" w:hAnsi="仿宋" w:eastAsia="仿宋" w:cs="仿宋"/>
                <w:lang w:val="en-US" w:eastAsia="zh-CN"/>
              </w:rPr>
            </w:pPr>
            <w:r>
              <w:rPr>
                <w:rFonts w:hint="eastAsia" w:ascii="仿宋" w:hAnsi="仿宋" w:eastAsia="仿宋" w:cs="仿宋"/>
                <w:spacing w:val="-4"/>
                <w:lang w:val="en-US" w:eastAsia="zh-CN"/>
              </w:rPr>
              <w:t>146.71</w:t>
            </w:r>
          </w:p>
        </w:tc>
        <w:tc>
          <w:tcPr>
            <w:tcW w:w="1174" w:type="pct"/>
            <w:shd w:val="clear" w:color="auto" w:fill="auto"/>
          </w:tcPr>
          <w:p w14:paraId="5876053E">
            <w:pPr>
              <w:pStyle w:val="11"/>
              <w:spacing w:before="79" w:line="186" w:lineRule="auto"/>
              <w:jc w:val="center"/>
              <w:rPr>
                <w:rFonts w:hint="eastAsia" w:ascii="仿宋" w:hAnsi="仿宋" w:eastAsia="仿宋" w:cs="仿宋"/>
              </w:rPr>
            </w:pPr>
            <w:r>
              <w:rPr>
                <w:rFonts w:hint="eastAsia" w:ascii="仿宋" w:hAnsi="仿宋" w:eastAsia="仿宋" w:cs="仿宋"/>
                <w:spacing w:val="-2"/>
                <w:lang w:val="en-US" w:eastAsia="zh-CN"/>
              </w:rPr>
              <w:t>49.88</w:t>
            </w:r>
            <w:r>
              <w:rPr>
                <w:rFonts w:hint="eastAsia" w:ascii="仿宋" w:hAnsi="仿宋" w:eastAsia="仿宋" w:cs="仿宋"/>
                <w:spacing w:val="-2"/>
              </w:rPr>
              <w:t>%</w:t>
            </w:r>
          </w:p>
        </w:tc>
      </w:tr>
      <w:tr w14:paraId="1DB2A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1" w:hRule="atLeast"/>
        </w:trPr>
        <w:tc>
          <w:tcPr>
            <w:tcW w:w="1867" w:type="pct"/>
            <w:shd w:val="clear" w:color="auto" w:fill="auto"/>
          </w:tcPr>
          <w:p w14:paraId="1E783793">
            <w:pPr>
              <w:spacing w:before="58" w:line="229" w:lineRule="auto"/>
              <w:ind w:left="131" w:firstLine="762" w:firstLineChars="300"/>
              <w:rPr>
                <w:rFonts w:hint="eastAsia" w:ascii="仿宋" w:hAnsi="仿宋" w:eastAsia="仿宋" w:cs="仿宋"/>
                <w:sz w:val="24"/>
                <w:szCs w:val="24"/>
              </w:rPr>
            </w:pPr>
            <w:r>
              <w:rPr>
                <w:rFonts w:hint="eastAsia" w:ascii="仿宋" w:hAnsi="仿宋" w:eastAsia="仿宋" w:cs="仿宋"/>
                <w:spacing w:val="7"/>
                <w:sz w:val="24"/>
                <w:szCs w:val="24"/>
              </w:rPr>
              <w:t>家具、用具及装具</w:t>
            </w:r>
          </w:p>
        </w:tc>
        <w:tc>
          <w:tcPr>
            <w:tcW w:w="1036" w:type="pct"/>
            <w:shd w:val="clear" w:color="auto" w:fill="auto"/>
          </w:tcPr>
          <w:p w14:paraId="43E20B2E">
            <w:pPr>
              <w:pStyle w:val="11"/>
              <w:spacing w:before="82" w:line="186" w:lineRule="auto"/>
              <w:ind w:left="524"/>
              <w:rPr>
                <w:rFonts w:hint="eastAsia" w:ascii="仿宋" w:hAnsi="仿宋" w:eastAsia="仿宋" w:cs="仿宋"/>
                <w:lang w:eastAsia="zh-CN"/>
              </w:rPr>
            </w:pPr>
            <w:r>
              <w:rPr>
                <w:rFonts w:hint="eastAsia" w:ascii="仿宋" w:hAnsi="仿宋" w:eastAsia="仿宋" w:cs="仿宋"/>
                <w:spacing w:val="-4"/>
                <w:lang w:eastAsia="zh-CN"/>
              </w:rPr>
              <w:t>83.78</w:t>
            </w:r>
          </w:p>
        </w:tc>
        <w:tc>
          <w:tcPr>
            <w:tcW w:w="922" w:type="pct"/>
            <w:shd w:val="clear" w:color="auto" w:fill="auto"/>
          </w:tcPr>
          <w:p w14:paraId="14F8B5E6">
            <w:pPr>
              <w:pStyle w:val="11"/>
              <w:spacing w:before="82" w:line="186" w:lineRule="auto"/>
              <w:jc w:val="center"/>
              <w:rPr>
                <w:rFonts w:hint="default" w:ascii="仿宋" w:hAnsi="仿宋" w:eastAsia="仿宋" w:cs="仿宋"/>
                <w:lang w:val="en-US" w:eastAsia="zh-CN"/>
              </w:rPr>
            </w:pPr>
            <w:r>
              <w:rPr>
                <w:rFonts w:hint="eastAsia" w:ascii="仿宋" w:hAnsi="仿宋" w:eastAsia="仿宋" w:cs="仿宋"/>
                <w:spacing w:val="-2"/>
                <w:lang w:val="en-US" w:eastAsia="zh-CN"/>
              </w:rPr>
              <w:t>42.79</w:t>
            </w:r>
          </w:p>
        </w:tc>
        <w:tc>
          <w:tcPr>
            <w:tcW w:w="1174" w:type="pct"/>
            <w:shd w:val="clear" w:color="auto" w:fill="auto"/>
          </w:tcPr>
          <w:p w14:paraId="4BE36B58">
            <w:pPr>
              <w:pStyle w:val="11"/>
              <w:spacing w:before="81" w:line="186" w:lineRule="auto"/>
              <w:jc w:val="center"/>
              <w:rPr>
                <w:rFonts w:hint="eastAsia" w:ascii="仿宋" w:hAnsi="仿宋" w:eastAsia="仿宋" w:cs="仿宋"/>
              </w:rPr>
            </w:pPr>
            <w:r>
              <w:rPr>
                <w:rFonts w:hint="eastAsia" w:ascii="仿宋" w:hAnsi="仿宋" w:eastAsia="仿宋" w:cs="仿宋"/>
                <w:spacing w:val="-6"/>
                <w:lang w:val="en-US" w:eastAsia="zh-CN"/>
              </w:rPr>
              <w:t>14.55</w:t>
            </w:r>
            <w:r>
              <w:rPr>
                <w:rFonts w:hint="eastAsia" w:ascii="仿宋" w:hAnsi="仿宋" w:eastAsia="仿宋" w:cs="仿宋"/>
                <w:spacing w:val="-6"/>
              </w:rPr>
              <w:t>%</w:t>
            </w:r>
          </w:p>
        </w:tc>
      </w:tr>
      <w:tr w14:paraId="1F04F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1" w:hRule="atLeast"/>
        </w:trPr>
        <w:tc>
          <w:tcPr>
            <w:tcW w:w="1867" w:type="pct"/>
            <w:shd w:val="clear" w:color="auto" w:fill="auto"/>
          </w:tcPr>
          <w:p w14:paraId="75A278DC">
            <w:pPr>
              <w:spacing w:before="58" w:line="229" w:lineRule="auto"/>
              <w:ind w:left="131"/>
              <w:rPr>
                <w:rFonts w:hint="eastAsia" w:ascii="仿宋" w:hAnsi="仿宋" w:eastAsia="仿宋" w:cs="仿宋"/>
                <w:spacing w:val="7"/>
                <w:sz w:val="24"/>
                <w:szCs w:val="24"/>
                <w:lang w:eastAsia="zh-CN"/>
              </w:rPr>
            </w:pPr>
            <w:r>
              <w:rPr>
                <w:rFonts w:hint="eastAsia" w:ascii="仿宋" w:hAnsi="仿宋" w:eastAsia="仿宋" w:cs="仿宋"/>
                <w:spacing w:val="7"/>
                <w:sz w:val="24"/>
                <w:szCs w:val="24"/>
                <w:lang w:val="en-US" w:eastAsia="zh-CN"/>
              </w:rPr>
              <w:t>4</w:t>
            </w:r>
            <w:r>
              <w:rPr>
                <w:rFonts w:hint="eastAsia" w:ascii="仿宋" w:hAnsi="仿宋" w:eastAsia="仿宋" w:cs="仿宋"/>
                <w:spacing w:val="7"/>
                <w:sz w:val="24"/>
                <w:szCs w:val="24"/>
                <w:lang w:eastAsia="zh-CN"/>
              </w:rPr>
              <w:t>.无形资产</w:t>
            </w:r>
          </w:p>
        </w:tc>
        <w:tc>
          <w:tcPr>
            <w:tcW w:w="1036" w:type="pct"/>
            <w:shd w:val="clear" w:color="auto" w:fill="auto"/>
          </w:tcPr>
          <w:p w14:paraId="6E2771A8">
            <w:pPr>
              <w:pStyle w:val="11"/>
              <w:spacing w:before="82" w:line="186" w:lineRule="auto"/>
              <w:ind w:left="524"/>
              <w:rPr>
                <w:rFonts w:hint="eastAsia" w:ascii="仿宋" w:hAnsi="仿宋" w:eastAsia="仿宋" w:cs="仿宋"/>
                <w:spacing w:val="-4"/>
                <w:lang w:eastAsia="zh-CN"/>
              </w:rPr>
            </w:pPr>
            <w:r>
              <w:rPr>
                <w:rFonts w:hint="eastAsia" w:ascii="仿宋" w:hAnsi="仿宋" w:eastAsia="仿宋" w:cs="仿宋"/>
                <w:spacing w:val="-4"/>
                <w:lang w:val="en-US" w:eastAsia="zh-CN"/>
              </w:rPr>
              <w:t>102</w:t>
            </w:r>
            <w:r>
              <w:rPr>
                <w:rFonts w:hint="eastAsia" w:ascii="仿宋" w:hAnsi="仿宋" w:eastAsia="仿宋" w:cs="仿宋"/>
                <w:spacing w:val="-4"/>
                <w:lang w:eastAsia="zh-CN"/>
              </w:rPr>
              <w:t>.05</w:t>
            </w:r>
          </w:p>
        </w:tc>
        <w:tc>
          <w:tcPr>
            <w:tcW w:w="922" w:type="pct"/>
            <w:shd w:val="clear" w:color="auto" w:fill="auto"/>
          </w:tcPr>
          <w:p w14:paraId="3D4B99C3">
            <w:pPr>
              <w:pStyle w:val="11"/>
              <w:spacing w:before="82" w:line="186" w:lineRule="auto"/>
              <w:jc w:val="center"/>
              <w:rPr>
                <w:rFonts w:hint="default" w:ascii="仿宋" w:hAnsi="仿宋" w:eastAsia="仿宋" w:cs="仿宋"/>
                <w:spacing w:val="-2"/>
                <w:lang w:val="en-US" w:eastAsia="zh-CN"/>
              </w:rPr>
            </w:pPr>
            <w:r>
              <w:rPr>
                <w:rFonts w:hint="eastAsia" w:ascii="仿宋" w:hAnsi="仿宋" w:eastAsia="仿宋" w:cs="仿宋"/>
                <w:spacing w:val="-2"/>
                <w:lang w:val="en-US" w:eastAsia="zh-CN"/>
              </w:rPr>
              <w:t>38.46</w:t>
            </w:r>
          </w:p>
        </w:tc>
        <w:tc>
          <w:tcPr>
            <w:tcW w:w="1174" w:type="pct"/>
            <w:shd w:val="clear" w:color="auto" w:fill="auto"/>
          </w:tcPr>
          <w:p w14:paraId="3F8765E5">
            <w:pPr>
              <w:pStyle w:val="11"/>
              <w:spacing w:before="81" w:line="186" w:lineRule="auto"/>
              <w:jc w:val="center"/>
              <w:rPr>
                <w:rFonts w:hint="eastAsia" w:ascii="仿宋" w:hAnsi="仿宋" w:eastAsia="仿宋" w:cs="仿宋"/>
                <w:spacing w:val="-6"/>
              </w:rPr>
            </w:pPr>
            <w:r>
              <w:rPr>
                <w:rFonts w:hint="eastAsia" w:ascii="仿宋" w:hAnsi="仿宋" w:eastAsia="仿宋" w:cs="仿宋"/>
                <w:spacing w:val="-6"/>
                <w:lang w:val="en-US" w:eastAsia="zh-CN"/>
              </w:rPr>
              <w:t>13.08</w:t>
            </w:r>
            <w:r>
              <w:rPr>
                <w:rFonts w:hint="eastAsia" w:ascii="仿宋" w:hAnsi="仿宋" w:eastAsia="仿宋" w:cs="仿宋"/>
                <w:spacing w:val="-6"/>
              </w:rPr>
              <w:t>%</w:t>
            </w:r>
          </w:p>
        </w:tc>
      </w:tr>
      <w:tr w14:paraId="15D75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1867" w:type="pct"/>
            <w:shd w:val="clear" w:color="auto" w:fill="auto"/>
          </w:tcPr>
          <w:p w14:paraId="7981454E">
            <w:pPr>
              <w:spacing w:before="59" w:line="230" w:lineRule="auto"/>
              <w:ind w:left="132"/>
              <w:rPr>
                <w:rFonts w:hint="eastAsia" w:ascii="仿宋" w:hAnsi="仿宋" w:eastAsia="仿宋" w:cs="仿宋"/>
                <w:sz w:val="24"/>
                <w:szCs w:val="24"/>
              </w:rPr>
            </w:pPr>
            <w:r>
              <w:rPr>
                <w:rFonts w:hint="eastAsia" w:ascii="仿宋" w:hAnsi="仿宋" w:eastAsia="仿宋" w:cs="仿宋"/>
                <w:spacing w:val="3"/>
                <w:sz w:val="24"/>
                <w:szCs w:val="24"/>
              </w:rPr>
              <w:t>总计</w:t>
            </w:r>
          </w:p>
        </w:tc>
        <w:tc>
          <w:tcPr>
            <w:tcW w:w="1036" w:type="pct"/>
            <w:shd w:val="clear" w:color="auto" w:fill="auto"/>
          </w:tcPr>
          <w:p w14:paraId="0E455824">
            <w:pPr>
              <w:pStyle w:val="11"/>
              <w:spacing w:before="83" w:line="186" w:lineRule="auto"/>
              <w:ind w:left="464"/>
              <w:rPr>
                <w:rFonts w:hint="default" w:ascii="仿宋" w:hAnsi="仿宋" w:eastAsia="仿宋" w:cs="仿宋"/>
                <w:lang w:val="en-US" w:eastAsia="zh-CN"/>
              </w:rPr>
            </w:pPr>
            <w:r>
              <w:rPr>
                <w:rFonts w:hint="eastAsia" w:ascii="仿宋" w:hAnsi="仿宋" w:eastAsia="仿宋" w:cs="仿宋"/>
                <w:spacing w:val="-4"/>
                <w:lang w:val="en-US" w:eastAsia="zh-CN"/>
              </w:rPr>
              <w:t>664.27</w:t>
            </w:r>
          </w:p>
        </w:tc>
        <w:tc>
          <w:tcPr>
            <w:tcW w:w="922" w:type="pct"/>
            <w:shd w:val="clear" w:color="auto" w:fill="auto"/>
          </w:tcPr>
          <w:p w14:paraId="004F744E">
            <w:pPr>
              <w:pStyle w:val="11"/>
              <w:spacing w:before="83" w:line="186" w:lineRule="auto"/>
              <w:jc w:val="center"/>
              <w:rPr>
                <w:rFonts w:hint="default" w:ascii="仿宋" w:hAnsi="仿宋" w:eastAsia="仿宋" w:cs="仿宋"/>
                <w:lang w:val="en-US" w:eastAsia="zh-CN"/>
              </w:rPr>
            </w:pPr>
            <w:r>
              <w:rPr>
                <w:rFonts w:hint="eastAsia" w:ascii="仿宋" w:hAnsi="仿宋" w:eastAsia="仿宋" w:cs="仿宋"/>
                <w:spacing w:val="-2"/>
                <w:lang w:val="en-US" w:eastAsia="zh-CN"/>
              </w:rPr>
              <w:t>294.13</w:t>
            </w:r>
          </w:p>
        </w:tc>
        <w:tc>
          <w:tcPr>
            <w:tcW w:w="1174" w:type="pct"/>
            <w:shd w:val="clear" w:color="auto" w:fill="auto"/>
          </w:tcPr>
          <w:p w14:paraId="36952B02">
            <w:pPr>
              <w:pStyle w:val="11"/>
              <w:spacing w:before="82" w:line="186" w:lineRule="auto"/>
              <w:jc w:val="center"/>
              <w:rPr>
                <w:rFonts w:hint="eastAsia" w:ascii="仿宋" w:hAnsi="仿宋" w:eastAsia="仿宋" w:cs="仿宋"/>
              </w:rPr>
            </w:pPr>
            <w:r>
              <w:rPr>
                <w:rFonts w:hint="eastAsia" w:ascii="仿宋" w:hAnsi="仿宋" w:eastAsia="仿宋" w:cs="仿宋"/>
                <w:spacing w:val="-5"/>
              </w:rPr>
              <w:t>100%</w:t>
            </w:r>
          </w:p>
        </w:tc>
      </w:tr>
    </w:tbl>
    <w:p w14:paraId="34718BDA">
      <w:pPr>
        <w:spacing w:line="30" w:lineRule="exact"/>
      </w:pPr>
    </w:p>
    <w:p w14:paraId="25D0AA3A">
      <w:pPr>
        <w:widowControl w:val="0"/>
        <w:autoSpaceDE/>
        <w:autoSpaceDN/>
        <w:spacing w:line="560" w:lineRule="exact"/>
        <w:ind w:firstLine="651" w:firstLineChars="200"/>
        <w:textAlignment w:val="auto"/>
        <w:outlineLvl w:val="1"/>
        <w:rPr>
          <w:rFonts w:ascii="楷体" w:hAnsi="楷体" w:eastAsia="楷体" w:cs="楷体"/>
          <w:b/>
          <w:bCs/>
          <w:spacing w:val="2"/>
          <w:sz w:val="32"/>
          <w:szCs w:val="32"/>
          <w:lang w:eastAsia="zh-CN"/>
        </w:rPr>
      </w:pPr>
      <w:r>
        <w:rPr>
          <w:rFonts w:ascii="楷体" w:hAnsi="楷体" w:eastAsia="楷体" w:cs="楷体"/>
          <w:b/>
          <w:bCs/>
          <w:spacing w:val="2"/>
          <w:sz w:val="32"/>
          <w:szCs w:val="32"/>
          <w:lang w:eastAsia="zh-CN"/>
        </w:rPr>
        <w:t>（二）部门</w:t>
      </w:r>
      <w:r>
        <w:rPr>
          <w:rFonts w:hint="eastAsia" w:ascii="楷体" w:hAnsi="楷体" w:eastAsia="楷体" w:cs="楷体"/>
          <w:b/>
          <w:bCs/>
          <w:spacing w:val="2"/>
          <w:sz w:val="32"/>
          <w:szCs w:val="32"/>
          <w:lang w:eastAsia="zh-CN"/>
        </w:rPr>
        <w:t>资金</w:t>
      </w:r>
      <w:r>
        <w:rPr>
          <w:rFonts w:ascii="楷体" w:hAnsi="楷体" w:eastAsia="楷体" w:cs="楷体"/>
          <w:b/>
          <w:bCs/>
          <w:spacing w:val="2"/>
          <w:sz w:val="32"/>
          <w:szCs w:val="32"/>
          <w:lang w:eastAsia="zh-CN"/>
        </w:rPr>
        <w:t>情况</w:t>
      </w:r>
    </w:p>
    <w:p w14:paraId="4BDF139D">
      <w:pPr>
        <w:pStyle w:val="3"/>
        <w:widowControl w:val="0"/>
        <w:autoSpaceDE/>
        <w:autoSpaceDN/>
        <w:spacing w:line="560" w:lineRule="exact"/>
        <w:ind w:firstLine="631" w:firstLineChars="200"/>
        <w:textAlignment w:val="auto"/>
        <w:outlineLvl w:val="2"/>
        <w:rPr>
          <w:b/>
          <w:bCs/>
          <w:spacing w:val="-3"/>
          <w:sz w:val="32"/>
          <w:szCs w:val="32"/>
          <w:lang w:eastAsia="zh-CN"/>
        </w:rPr>
      </w:pPr>
      <w:r>
        <w:rPr>
          <w:rFonts w:hint="eastAsia"/>
          <w:b/>
          <w:bCs/>
          <w:spacing w:val="-3"/>
          <w:sz w:val="32"/>
          <w:szCs w:val="32"/>
          <w:lang w:eastAsia="zh-CN"/>
        </w:rPr>
        <w:t>1、部门收支情况</w:t>
      </w:r>
    </w:p>
    <w:p w14:paraId="2F0E69C0">
      <w:pPr>
        <w:widowControl w:val="0"/>
        <w:kinsoku/>
        <w:autoSpaceDE/>
        <w:autoSpaceDN/>
        <w:adjustRightInd/>
        <w:snapToGrid/>
        <w:spacing w:line="560" w:lineRule="exact"/>
        <w:ind w:firstLine="640" w:firstLineChars="200"/>
        <w:contextualSpacing/>
        <w:jc w:val="both"/>
        <w:textAlignment w:val="auto"/>
        <w:rPr>
          <w:rFonts w:ascii="仿宋_GB2312" w:hAnsi="仿宋_GB2312" w:eastAsia="仿宋_GB2312" w:cs="仿宋_GB2312"/>
          <w:snapToGrid/>
          <w:kern w:val="2"/>
          <w:sz w:val="32"/>
          <w:szCs w:val="32"/>
          <w:lang w:eastAsia="zh-CN"/>
        </w:rPr>
      </w:pPr>
      <w:r>
        <w:rPr>
          <w:rFonts w:hint="eastAsia" w:ascii="仿宋_GB2312" w:hAnsi="仿宋_GB2312" w:eastAsia="仿宋_GB2312" w:cs="仿宋_GB2312"/>
          <w:snapToGrid/>
          <w:kern w:val="2"/>
          <w:sz w:val="32"/>
          <w:szCs w:val="32"/>
          <w:lang w:eastAsia="zh-CN"/>
        </w:rPr>
        <w:t>南京仲裁委员会办公室</w:t>
      </w:r>
      <w:r>
        <w:rPr>
          <w:rFonts w:ascii="仿宋_GB2312" w:hAnsi="仿宋_GB2312" w:eastAsia="仿宋_GB2312" w:cs="仿宋_GB2312"/>
          <w:snapToGrid/>
          <w:kern w:val="2"/>
          <w:sz w:val="32"/>
          <w:szCs w:val="32"/>
          <w:lang w:eastAsia="zh-CN"/>
        </w:rPr>
        <w:t>202</w:t>
      </w:r>
      <w:r>
        <w:rPr>
          <w:rFonts w:hint="eastAsia" w:ascii="仿宋_GB2312" w:hAnsi="仿宋_GB2312" w:eastAsia="仿宋_GB2312" w:cs="仿宋_GB2312"/>
          <w:snapToGrid/>
          <w:kern w:val="2"/>
          <w:sz w:val="32"/>
          <w:szCs w:val="32"/>
          <w:lang w:val="en-US" w:eastAsia="zh-CN"/>
        </w:rPr>
        <w:t>5</w:t>
      </w:r>
      <w:r>
        <w:rPr>
          <w:rFonts w:ascii="仿宋_GB2312" w:hAnsi="仿宋_GB2312" w:eastAsia="仿宋_GB2312" w:cs="仿宋_GB2312"/>
          <w:snapToGrid/>
          <w:kern w:val="2"/>
          <w:sz w:val="32"/>
          <w:szCs w:val="32"/>
          <w:lang w:eastAsia="zh-CN"/>
        </w:rPr>
        <w:t>年预算安排</w:t>
      </w:r>
      <w:r>
        <w:rPr>
          <w:rFonts w:hint="eastAsia" w:ascii="仿宋_GB2312" w:hAnsi="仿宋_GB2312" w:eastAsia="仿宋_GB2312" w:cs="仿宋_GB2312"/>
          <w:snapToGrid/>
          <w:kern w:val="2"/>
          <w:sz w:val="32"/>
          <w:szCs w:val="32"/>
          <w:lang w:val="en-US" w:eastAsia="zh-CN"/>
        </w:rPr>
        <w:t>1571.4</w:t>
      </w:r>
      <w:r>
        <w:rPr>
          <w:rFonts w:ascii="仿宋_GB2312" w:hAnsi="仿宋_GB2312" w:eastAsia="仿宋_GB2312" w:cs="仿宋_GB2312"/>
          <w:snapToGrid/>
          <w:kern w:val="2"/>
          <w:sz w:val="32"/>
          <w:szCs w:val="32"/>
          <w:lang w:eastAsia="zh-CN"/>
        </w:rPr>
        <w:t>万元，其中：基本支出</w:t>
      </w:r>
      <w:r>
        <w:rPr>
          <w:rFonts w:hint="eastAsia" w:ascii="仿宋_GB2312" w:hAnsi="仿宋_GB2312" w:eastAsia="仿宋_GB2312" w:cs="仿宋_GB2312"/>
          <w:snapToGrid/>
          <w:kern w:val="2"/>
          <w:sz w:val="32"/>
          <w:szCs w:val="32"/>
          <w:lang w:val="en-US" w:eastAsia="zh-CN"/>
        </w:rPr>
        <w:t>1088.86</w:t>
      </w:r>
      <w:r>
        <w:rPr>
          <w:rFonts w:ascii="仿宋_GB2312" w:hAnsi="仿宋_GB2312" w:eastAsia="仿宋_GB2312" w:cs="仿宋_GB2312"/>
          <w:snapToGrid/>
          <w:kern w:val="2"/>
          <w:sz w:val="32"/>
          <w:szCs w:val="32"/>
          <w:lang w:eastAsia="zh-CN"/>
        </w:rPr>
        <w:t>万元，项目支出</w:t>
      </w:r>
      <w:r>
        <w:rPr>
          <w:rFonts w:hint="eastAsia" w:ascii="仿宋_GB2312" w:hAnsi="仿宋_GB2312" w:eastAsia="仿宋_GB2312" w:cs="仿宋_GB2312"/>
          <w:snapToGrid/>
          <w:kern w:val="2"/>
          <w:sz w:val="32"/>
          <w:szCs w:val="32"/>
          <w:lang w:val="en-US" w:eastAsia="zh-CN"/>
        </w:rPr>
        <w:t>482.54</w:t>
      </w:r>
      <w:r>
        <w:rPr>
          <w:rFonts w:ascii="仿宋_GB2312" w:hAnsi="仿宋_GB2312" w:eastAsia="仿宋_GB2312" w:cs="仿宋_GB2312"/>
          <w:snapToGrid/>
          <w:kern w:val="2"/>
          <w:sz w:val="32"/>
          <w:szCs w:val="32"/>
          <w:lang w:eastAsia="zh-CN"/>
        </w:rPr>
        <w:t>万元。调整后预算</w:t>
      </w:r>
      <w:r>
        <w:rPr>
          <w:rFonts w:hint="eastAsia" w:ascii="仿宋_GB2312" w:hAnsi="仿宋_GB2312" w:eastAsia="仿宋_GB2312" w:cs="仿宋_GB2312"/>
          <w:snapToGrid/>
          <w:kern w:val="2"/>
          <w:sz w:val="32"/>
          <w:szCs w:val="32"/>
          <w:lang w:val="en-US" w:eastAsia="zh-CN"/>
        </w:rPr>
        <w:t>2465.68</w:t>
      </w:r>
      <w:r>
        <w:rPr>
          <w:rFonts w:ascii="仿宋_GB2312" w:hAnsi="仿宋_GB2312" w:eastAsia="仿宋_GB2312" w:cs="仿宋_GB2312"/>
          <w:snapToGrid/>
          <w:kern w:val="2"/>
          <w:sz w:val="32"/>
          <w:szCs w:val="32"/>
          <w:lang w:eastAsia="zh-CN"/>
        </w:rPr>
        <w:t>万元，其中：基本支出</w:t>
      </w:r>
      <w:r>
        <w:rPr>
          <w:rFonts w:hint="eastAsia" w:ascii="仿宋_GB2312" w:hAnsi="仿宋_GB2312" w:eastAsia="仿宋_GB2312" w:cs="仿宋_GB2312"/>
          <w:snapToGrid/>
          <w:kern w:val="2"/>
          <w:sz w:val="32"/>
          <w:szCs w:val="32"/>
          <w:lang w:val="en-US" w:eastAsia="zh-CN"/>
        </w:rPr>
        <w:t>1196.24</w:t>
      </w:r>
      <w:r>
        <w:rPr>
          <w:rFonts w:ascii="仿宋_GB2312" w:hAnsi="仿宋_GB2312" w:eastAsia="仿宋_GB2312" w:cs="仿宋_GB2312"/>
          <w:snapToGrid/>
          <w:kern w:val="2"/>
          <w:sz w:val="32"/>
          <w:szCs w:val="32"/>
          <w:lang w:eastAsia="zh-CN"/>
        </w:rPr>
        <w:t>万元，调增</w:t>
      </w:r>
      <w:r>
        <w:rPr>
          <w:rFonts w:hint="eastAsia" w:ascii="仿宋_GB2312" w:hAnsi="仿宋_GB2312" w:eastAsia="仿宋_GB2312" w:cs="仿宋_GB2312"/>
          <w:snapToGrid/>
          <w:kern w:val="2"/>
          <w:sz w:val="32"/>
          <w:szCs w:val="32"/>
          <w:lang w:val="en-US" w:eastAsia="zh-CN"/>
        </w:rPr>
        <w:t>107.38</w:t>
      </w:r>
      <w:r>
        <w:rPr>
          <w:rFonts w:ascii="仿宋_GB2312" w:hAnsi="仿宋_GB2312" w:eastAsia="仿宋_GB2312" w:cs="仿宋_GB2312"/>
          <w:snapToGrid/>
          <w:kern w:val="2"/>
          <w:sz w:val="32"/>
          <w:szCs w:val="32"/>
          <w:lang w:eastAsia="zh-CN"/>
        </w:rPr>
        <w:t>万元，主要原因是增人增资；项目支出</w:t>
      </w:r>
      <w:r>
        <w:rPr>
          <w:rFonts w:hint="eastAsia" w:ascii="仿宋_GB2312" w:hAnsi="仿宋_GB2312" w:eastAsia="仿宋_GB2312" w:cs="仿宋_GB2312"/>
          <w:snapToGrid/>
          <w:kern w:val="2"/>
          <w:sz w:val="32"/>
          <w:szCs w:val="32"/>
          <w:lang w:val="en-US" w:eastAsia="zh-CN"/>
        </w:rPr>
        <w:t>1269.44</w:t>
      </w:r>
      <w:r>
        <w:rPr>
          <w:rFonts w:ascii="仿宋_GB2312" w:hAnsi="仿宋_GB2312" w:eastAsia="仿宋_GB2312" w:cs="仿宋_GB2312"/>
          <w:snapToGrid/>
          <w:kern w:val="2"/>
          <w:sz w:val="32"/>
          <w:szCs w:val="32"/>
          <w:lang w:eastAsia="zh-CN"/>
        </w:rPr>
        <w:t>万元，净调增</w:t>
      </w:r>
      <w:r>
        <w:rPr>
          <w:rFonts w:hint="eastAsia" w:ascii="仿宋_GB2312" w:hAnsi="仿宋_GB2312" w:eastAsia="仿宋_GB2312" w:cs="仿宋_GB2312"/>
          <w:snapToGrid/>
          <w:kern w:val="2"/>
          <w:sz w:val="32"/>
          <w:szCs w:val="32"/>
          <w:lang w:val="en-US" w:eastAsia="zh-CN"/>
        </w:rPr>
        <w:t>786.9</w:t>
      </w:r>
      <w:r>
        <w:rPr>
          <w:rFonts w:ascii="仿宋_GB2312" w:hAnsi="仿宋_GB2312" w:eastAsia="仿宋_GB2312" w:cs="仿宋_GB2312"/>
          <w:snapToGrid/>
          <w:kern w:val="2"/>
          <w:sz w:val="32"/>
          <w:szCs w:val="32"/>
          <w:lang w:eastAsia="zh-CN"/>
        </w:rPr>
        <w:t>万元，主要原因是</w:t>
      </w:r>
      <w:r>
        <w:rPr>
          <w:rFonts w:hint="eastAsia" w:ascii="仿宋_GB2312" w:hAnsi="仿宋_GB2312" w:eastAsia="仿宋_GB2312" w:cs="仿宋_GB2312"/>
          <w:snapToGrid/>
          <w:kern w:val="2"/>
          <w:sz w:val="32"/>
          <w:szCs w:val="32"/>
          <w:lang w:eastAsia="zh-CN"/>
        </w:rPr>
        <w:t>追加上年度拖欠仲裁员报酬和据实保障本年度仲裁员报酬</w:t>
      </w:r>
      <w:r>
        <w:rPr>
          <w:rFonts w:ascii="仿宋_GB2312" w:hAnsi="仿宋_GB2312" w:eastAsia="仿宋_GB2312" w:cs="仿宋_GB2312"/>
          <w:snapToGrid/>
          <w:kern w:val="2"/>
          <w:sz w:val="32"/>
          <w:szCs w:val="32"/>
          <w:lang w:eastAsia="zh-CN"/>
        </w:rPr>
        <w:t>。</w:t>
      </w:r>
    </w:p>
    <w:p w14:paraId="6B2F51D6">
      <w:pPr>
        <w:widowControl w:val="0"/>
        <w:kinsoku/>
        <w:autoSpaceDE/>
        <w:autoSpaceDN/>
        <w:adjustRightInd/>
        <w:snapToGrid/>
        <w:spacing w:line="560" w:lineRule="exact"/>
        <w:ind w:firstLine="640" w:firstLineChars="200"/>
        <w:contextualSpacing/>
        <w:jc w:val="both"/>
        <w:textAlignment w:val="auto"/>
        <w:rPr>
          <w:rFonts w:ascii="仿宋_GB2312" w:hAnsi="仿宋_GB2312" w:eastAsia="仿宋_GB2312" w:cs="仿宋_GB2312"/>
          <w:snapToGrid/>
          <w:kern w:val="2"/>
          <w:sz w:val="32"/>
          <w:szCs w:val="32"/>
          <w:lang w:eastAsia="zh-CN"/>
        </w:rPr>
      </w:pPr>
      <w:r>
        <w:rPr>
          <w:rFonts w:ascii="仿宋_GB2312" w:hAnsi="仿宋_GB2312" w:eastAsia="仿宋_GB2312" w:cs="仿宋_GB2312"/>
          <w:snapToGrid/>
          <w:kern w:val="2"/>
          <w:sz w:val="32"/>
          <w:szCs w:val="32"/>
          <w:lang w:eastAsia="zh-CN"/>
        </w:rPr>
        <w:t>202</w:t>
      </w:r>
      <w:r>
        <w:rPr>
          <w:rFonts w:hint="eastAsia" w:ascii="仿宋_GB2312" w:hAnsi="仿宋_GB2312" w:eastAsia="仿宋_GB2312" w:cs="仿宋_GB2312"/>
          <w:snapToGrid/>
          <w:kern w:val="2"/>
          <w:sz w:val="32"/>
          <w:szCs w:val="32"/>
          <w:lang w:val="en-US" w:eastAsia="zh-CN"/>
        </w:rPr>
        <w:t>5</w:t>
      </w:r>
      <w:r>
        <w:rPr>
          <w:rFonts w:ascii="仿宋_GB2312" w:hAnsi="仿宋_GB2312" w:eastAsia="仿宋_GB2312" w:cs="仿宋_GB2312"/>
          <w:snapToGrid/>
          <w:kern w:val="2"/>
          <w:sz w:val="32"/>
          <w:szCs w:val="32"/>
          <w:lang w:eastAsia="zh-CN"/>
        </w:rPr>
        <w:t>年</w:t>
      </w:r>
      <w:r>
        <w:rPr>
          <w:rFonts w:hint="eastAsia" w:ascii="仿宋_GB2312" w:hAnsi="仿宋_GB2312" w:eastAsia="仿宋_GB2312" w:cs="仿宋_GB2312"/>
          <w:snapToGrid/>
          <w:kern w:val="2"/>
          <w:sz w:val="32"/>
          <w:szCs w:val="32"/>
          <w:lang w:eastAsia="zh-CN"/>
        </w:rPr>
        <w:t>南京仲裁委员会办公室</w:t>
      </w:r>
      <w:r>
        <w:rPr>
          <w:rFonts w:ascii="仿宋_GB2312" w:hAnsi="仿宋_GB2312" w:eastAsia="仿宋_GB2312" w:cs="仿宋_GB2312"/>
          <w:snapToGrid/>
          <w:kern w:val="2"/>
          <w:sz w:val="32"/>
          <w:szCs w:val="32"/>
          <w:lang w:eastAsia="zh-CN"/>
        </w:rPr>
        <w:t>实际支出</w:t>
      </w:r>
      <w:r>
        <w:rPr>
          <w:rFonts w:hint="eastAsia" w:ascii="仿宋_GB2312" w:hAnsi="仿宋_GB2312" w:eastAsia="仿宋_GB2312" w:cs="仿宋_GB2312"/>
          <w:snapToGrid/>
          <w:kern w:val="2"/>
          <w:sz w:val="32"/>
          <w:szCs w:val="32"/>
          <w:lang w:val="en-US" w:eastAsia="zh-CN"/>
        </w:rPr>
        <w:t>2465.68</w:t>
      </w:r>
      <w:r>
        <w:rPr>
          <w:rFonts w:ascii="仿宋_GB2312" w:hAnsi="仿宋_GB2312" w:eastAsia="仿宋_GB2312" w:cs="仿宋_GB2312"/>
          <w:snapToGrid/>
          <w:kern w:val="2"/>
          <w:sz w:val="32"/>
          <w:szCs w:val="32"/>
          <w:lang w:eastAsia="zh-CN"/>
        </w:rPr>
        <w:t>万元，预算执行率</w:t>
      </w:r>
      <w:r>
        <w:rPr>
          <w:rFonts w:hint="eastAsia" w:ascii="仿宋_GB2312" w:hAnsi="仿宋_GB2312" w:eastAsia="仿宋_GB2312" w:cs="仿宋_GB2312"/>
          <w:snapToGrid/>
          <w:kern w:val="2"/>
          <w:sz w:val="32"/>
          <w:szCs w:val="32"/>
          <w:lang w:val="en-US" w:eastAsia="zh-CN"/>
        </w:rPr>
        <w:t>100</w:t>
      </w:r>
      <w:r>
        <w:rPr>
          <w:rFonts w:ascii="仿宋_GB2312" w:hAnsi="仿宋_GB2312" w:eastAsia="仿宋_GB2312" w:cs="仿宋_GB2312"/>
          <w:snapToGrid/>
          <w:kern w:val="2"/>
          <w:sz w:val="32"/>
          <w:szCs w:val="32"/>
          <w:lang w:eastAsia="zh-CN"/>
        </w:rPr>
        <w:t>%。其中：基本支出</w:t>
      </w:r>
      <w:r>
        <w:rPr>
          <w:rFonts w:hint="eastAsia" w:ascii="仿宋_GB2312" w:hAnsi="仿宋_GB2312" w:eastAsia="仿宋_GB2312" w:cs="仿宋_GB2312"/>
          <w:snapToGrid/>
          <w:kern w:val="2"/>
          <w:sz w:val="32"/>
          <w:szCs w:val="32"/>
          <w:lang w:val="en-US" w:eastAsia="zh-CN"/>
        </w:rPr>
        <w:t>1196.24</w:t>
      </w:r>
      <w:r>
        <w:rPr>
          <w:rFonts w:ascii="仿宋_GB2312" w:hAnsi="仿宋_GB2312" w:eastAsia="仿宋_GB2312" w:cs="仿宋_GB2312"/>
          <w:snapToGrid/>
          <w:kern w:val="2"/>
          <w:sz w:val="32"/>
          <w:szCs w:val="32"/>
          <w:lang w:eastAsia="zh-CN"/>
        </w:rPr>
        <w:t>万元，预算执行率</w:t>
      </w:r>
      <w:r>
        <w:rPr>
          <w:rFonts w:hint="eastAsia" w:ascii="仿宋_GB2312" w:hAnsi="仿宋_GB2312" w:eastAsia="仿宋_GB2312" w:cs="仿宋_GB2312"/>
          <w:snapToGrid/>
          <w:kern w:val="2"/>
          <w:sz w:val="32"/>
          <w:szCs w:val="32"/>
          <w:lang w:val="en-US" w:eastAsia="zh-CN"/>
        </w:rPr>
        <w:t>100</w:t>
      </w:r>
      <w:r>
        <w:rPr>
          <w:rFonts w:ascii="仿宋_GB2312" w:hAnsi="仿宋_GB2312" w:eastAsia="仿宋_GB2312" w:cs="仿宋_GB2312"/>
          <w:snapToGrid/>
          <w:kern w:val="2"/>
          <w:sz w:val="32"/>
          <w:szCs w:val="32"/>
          <w:lang w:eastAsia="zh-CN"/>
        </w:rPr>
        <w:t>%；项目支出</w:t>
      </w:r>
      <w:r>
        <w:rPr>
          <w:rFonts w:hint="eastAsia" w:ascii="仿宋_GB2312" w:hAnsi="仿宋_GB2312" w:eastAsia="仿宋_GB2312" w:cs="仿宋_GB2312"/>
          <w:snapToGrid/>
          <w:kern w:val="2"/>
          <w:sz w:val="32"/>
          <w:szCs w:val="32"/>
          <w:lang w:val="en-US" w:eastAsia="zh-CN"/>
        </w:rPr>
        <w:t>1269.44</w:t>
      </w:r>
      <w:r>
        <w:rPr>
          <w:rFonts w:ascii="仿宋_GB2312" w:hAnsi="仿宋_GB2312" w:eastAsia="仿宋_GB2312" w:cs="仿宋_GB2312"/>
          <w:snapToGrid/>
          <w:kern w:val="2"/>
          <w:sz w:val="32"/>
          <w:szCs w:val="32"/>
          <w:lang w:eastAsia="zh-CN"/>
        </w:rPr>
        <w:t>万元，预算执行率</w:t>
      </w:r>
      <w:r>
        <w:rPr>
          <w:rFonts w:hint="eastAsia" w:ascii="仿宋_GB2312" w:hAnsi="仿宋_GB2312" w:eastAsia="仿宋_GB2312" w:cs="仿宋_GB2312"/>
          <w:snapToGrid/>
          <w:kern w:val="2"/>
          <w:sz w:val="32"/>
          <w:szCs w:val="32"/>
          <w:lang w:val="en-US" w:eastAsia="zh-CN"/>
        </w:rPr>
        <w:t>100</w:t>
      </w:r>
      <w:r>
        <w:rPr>
          <w:rFonts w:ascii="仿宋_GB2312" w:hAnsi="仿宋_GB2312" w:eastAsia="仿宋_GB2312" w:cs="仿宋_GB2312"/>
          <w:snapToGrid/>
          <w:kern w:val="2"/>
          <w:sz w:val="32"/>
          <w:szCs w:val="32"/>
          <w:lang w:eastAsia="zh-CN"/>
        </w:rPr>
        <w:t>%。详情见表</w:t>
      </w:r>
      <w:r>
        <w:rPr>
          <w:rFonts w:hint="eastAsia" w:ascii="仿宋_GB2312" w:hAnsi="仿宋_GB2312" w:eastAsia="仿宋_GB2312" w:cs="仿宋_GB2312"/>
          <w:snapToGrid/>
          <w:kern w:val="2"/>
          <w:sz w:val="32"/>
          <w:szCs w:val="32"/>
          <w:lang w:val="en-US" w:eastAsia="zh-CN"/>
        </w:rPr>
        <w:t>2</w:t>
      </w:r>
      <w:r>
        <w:rPr>
          <w:rFonts w:ascii="仿宋_GB2312" w:hAnsi="仿宋_GB2312" w:eastAsia="仿宋_GB2312" w:cs="仿宋_GB2312"/>
          <w:snapToGrid/>
          <w:kern w:val="2"/>
          <w:sz w:val="32"/>
          <w:szCs w:val="32"/>
          <w:lang w:eastAsia="zh-CN"/>
        </w:rPr>
        <w:t>。</w:t>
      </w:r>
    </w:p>
    <w:p w14:paraId="0534790E">
      <w:pPr>
        <w:widowControl w:val="0"/>
        <w:kinsoku/>
        <w:autoSpaceDE/>
        <w:autoSpaceDN/>
        <w:adjustRightInd/>
        <w:snapToGrid/>
        <w:spacing w:line="560" w:lineRule="exact"/>
        <w:contextualSpacing/>
        <w:jc w:val="center"/>
        <w:textAlignment w:val="auto"/>
        <w:rPr>
          <w:rFonts w:ascii="仿宋_GB2312" w:hAnsi="仿宋_GB2312" w:eastAsia="仿宋_GB2312" w:cs="仿宋_GB2312"/>
          <w:snapToGrid/>
          <w:kern w:val="2"/>
          <w:sz w:val="28"/>
          <w:szCs w:val="28"/>
          <w:lang w:eastAsia="zh-CN"/>
        </w:rPr>
      </w:pPr>
      <w:r>
        <w:rPr>
          <w:rFonts w:hint="eastAsia" w:ascii="仿宋_GB2312" w:hAnsi="仿宋_GB2312" w:eastAsia="仿宋_GB2312" w:cs="仿宋_GB2312"/>
          <w:snapToGrid/>
          <w:kern w:val="2"/>
          <w:sz w:val="28"/>
          <w:szCs w:val="28"/>
          <w:lang w:eastAsia="zh-CN"/>
        </w:rPr>
        <w:t>表</w:t>
      </w:r>
      <w:r>
        <w:rPr>
          <w:rFonts w:hint="eastAsia" w:ascii="仿宋_GB2312" w:hAnsi="仿宋_GB2312" w:eastAsia="仿宋_GB2312" w:cs="仿宋_GB2312"/>
          <w:snapToGrid/>
          <w:kern w:val="2"/>
          <w:sz w:val="28"/>
          <w:szCs w:val="28"/>
          <w:lang w:val="en-US" w:eastAsia="zh-CN"/>
        </w:rPr>
        <w:t>2</w:t>
      </w:r>
      <w:r>
        <w:rPr>
          <w:rFonts w:hint="eastAsia" w:ascii="仿宋_GB2312" w:hAnsi="仿宋_GB2312" w:eastAsia="仿宋_GB2312" w:cs="仿宋_GB2312"/>
          <w:snapToGrid/>
          <w:kern w:val="2"/>
          <w:sz w:val="28"/>
          <w:szCs w:val="28"/>
          <w:lang w:eastAsia="zh-CN"/>
        </w:rPr>
        <w:t>：202</w:t>
      </w:r>
      <w:r>
        <w:rPr>
          <w:rFonts w:hint="eastAsia" w:ascii="仿宋_GB2312" w:hAnsi="仿宋_GB2312" w:eastAsia="仿宋_GB2312" w:cs="仿宋_GB2312"/>
          <w:snapToGrid/>
          <w:kern w:val="2"/>
          <w:sz w:val="28"/>
          <w:szCs w:val="28"/>
          <w:lang w:val="en-US" w:eastAsia="zh-CN"/>
        </w:rPr>
        <w:t>5</w:t>
      </w:r>
      <w:r>
        <w:rPr>
          <w:rFonts w:hint="eastAsia" w:ascii="仿宋_GB2312" w:hAnsi="仿宋_GB2312" w:eastAsia="仿宋_GB2312" w:cs="仿宋_GB2312"/>
          <w:snapToGrid/>
          <w:kern w:val="2"/>
          <w:sz w:val="28"/>
          <w:szCs w:val="28"/>
          <w:lang w:eastAsia="zh-CN"/>
        </w:rPr>
        <w:t>年南京仲裁委员会办公室预算安排与支出情况</w:t>
      </w:r>
    </w:p>
    <w:p w14:paraId="74FB8BB9">
      <w:pPr>
        <w:widowControl w:val="0"/>
        <w:kinsoku/>
        <w:autoSpaceDE/>
        <w:autoSpaceDN/>
        <w:adjustRightInd/>
        <w:snapToGrid/>
        <w:spacing w:line="560" w:lineRule="exact"/>
        <w:contextualSpacing/>
        <w:jc w:val="right"/>
        <w:textAlignment w:val="auto"/>
        <w:rPr>
          <w:rFonts w:ascii="仿宋_GB2312" w:hAnsi="仿宋_GB2312" w:eastAsia="仿宋_GB2312" w:cs="仿宋_GB2312"/>
          <w:snapToGrid/>
          <w:kern w:val="2"/>
          <w:sz w:val="28"/>
          <w:szCs w:val="28"/>
          <w:lang w:eastAsia="zh-CN"/>
        </w:rPr>
      </w:pPr>
      <w:r>
        <w:rPr>
          <w:rFonts w:hint="eastAsia" w:ascii="仿宋_GB2312" w:hAnsi="仿宋_GB2312" w:eastAsia="仿宋_GB2312" w:cs="仿宋_GB2312"/>
          <w:snapToGrid/>
          <w:kern w:val="2"/>
          <w:sz w:val="28"/>
          <w:szCs w:val="28"/>
          <w:lang w:eastAsia="zh-CN"/>
        </w:rPr>
        <w:t>单位：万元</w:t>
      </w:r>
    </w:p>
    <w:tbl>
      <w:tblPr>
        <w:tblStyle w:val="10"/>
        <w:tblW w:w="499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851"/>
        <w:gridCol w:w="1581"/>
        <w:gridCol w:w="1672"/>
        <w:gridCol w:w="1797"/>
        <w:gridCol w:w="1539"/>
      </w:tblGrid>
      <w:tr w14:paraId="1386F5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3" w:hRule="atLeast"/>
        </w:trPr>
        <w:tc>
          <w:tcPr>
            <w:tcW w:w="1096" w:type="pct"/>
            <w:shd w:val="clear" w:color="auto" w:fill="B6B8BB"/>
            <w:vAlign w:val="center"/>
          </w:tcPr>
          <w:p w14:paraId="356BA0A3">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支出类别</w:t>
            </w:r>
          </w:p>
        </w:tc>
        <w:tc>
          <w:tcPr>
            <w:tcW w:w="936" w:type="pct"/>
            <w:shd w:val="clear" w:color="auto" w:fill="B7B9BC"/>
            <w:vAlign w:val="center"/>
          </w:tcPr>
          <w:p w14:paraId="4C43C330">
            <w:pPr>
              <w:jc w:val="center"/>
              <w:rPr>
                <w:rFonts w:hint="eastAsia" w:ascii="仿宋" w:hAnsi="仿宋" w:eastAsia="仿宋" w:cs="仿宋"/>
                <w:sz w:val="24"/>
                <w:szCs w:val="24"/>
              </w:rPr>
            </w:pPr>
            <w:r>
              <w:rPr>
                <w:rFonts w:hint="eastAsia" w:ascii="仿宋" w:hAnsi="仿宋" w:eastAsia="仿宋" w:cs="仿宋"/>
                <w:sz w:val="24"/>
                <w:szCs w:val="24"/>
              </w:rPr>
              <w:t>年初预算数</w:t>
            </w:r>
          </w:p>
        </w:tc>
        <w:tc>
          <w:tcPr>
            <w:tcW w:w="990" w:type="pct"/>
            <w:shd w:val="clear" w:color="auto" w:fill="B7B8BB"/>
            <w:vAlign w:val="center"/>
          </w:tcPr>
          <w:p w14:paraId="4DD2DE76">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调整后预算数</w:t>
            </w:r>
          </w:p>
        </w:tc>
        <w:tc>
          <w:tcPr>
            <w:tcW w:w="1064" w:type="pct"/>
            <w:shd w:val="clear" w:color="auto" w:fill="B8B8BB"/>
            <w:vAlign w:val="center"/>
          </w:tcPr>
          <w:p w14:paraId="6869D39B">
            <w:pPr>
              <w:jc w:val="center"/>
              <w:rPr>
                <w:rFonts w:hint="eastAsia" w:ascii="仿宋" w:hAnsi="仿宋" w:eastAsia="仿宋" w:cs="仿宋"/>
                <w:sz w:val="24"/>
                <w:szCs w:val="24"/>
              </w:rPr>
            </w:pPr>
            <w:r>
              <w:rPr>
                <w:rFonts w:hint="eastAsia" w:ascii="仿宋" w:hAnsi="仿宋" w:eastAsia="仿宋" w:cs="仿宋"/>
                <w:sz w:val="24"/>
                <w:szCs w:val="24"/>
              </w:rPr>
              <w:t>实际</w:t>
            </w:r>
          </w:p>
          <w:p w14:paraId="18713036">
            <w:pPr>
              <w:jc w:val="center"/>
              <w:rPr>
                <w:rFonts w:hint="eastAsia" w:ascii="仿宋" w:hAnsi="仿宋" w:eastAsia="仿宋" w:cs="仿宋"/>
                <w:sz w:val="24"/>
                <w:szCs w:val="24"/>
              </w:rPr>
            </w:pPr>
            <w:r>
              <w:rPr>
                <w:rFonts w:hint="eastAsia" w:ascii="仿宋" w:hAnsi="仿宋" w:eastAsia="仿宋" w:cs="仿宋"/>
                <w:sz w:val="24"/>
                <w:szCs w:val="24"/>
              </w:rPr>
              <w:t>支出数</w:t>
            </w:r>
          </w:p>
        </w:tc>
        <w:tc>
          <w:tcPr>
            <w:tcW w:w="911" w:type="pct"/>
            <w:shd w:val="clear" w:color="auto" w:fill="B6B7BB"/>
            <w:vAlign w:val="center"/>
          </w:tcPr>
          <w:p w14:paraId="0ADF0FC1">
            <w:pPr>
              <w:jc w:val="center"/>
              <w:rPr>
                <w:rFonts w:hint="eastAsia" w:ascii="仿宋" w:hAnsi="仿宋" w:eastAsia="仿宋" w:cs="仿宋"/>
                <w:sz w:val="24"/>
                <w:szCs w:val="24"/>
              </w:rPr>
            </w:pPr>
            <w:r>
              <w:rPr>
                <w:rFonts w:hint="eastAsia" w:ascii="仿宋" w:hAnsi="仿宋" w:eastAsia="仿宋" w:cs="仿宋"/>
                <w:sz w:val="24"/>
                <w:szCs w:val="24"/>
              </w:rPr>
              <w:t>预算</w:t>
            </w:r>
          </w:p>
          <w:p w14:paraId="3E64284D">
            <w:pPr>
              <w:jc w:val="center"/>
              <w:rPr>
                <w:rFonts w:hint="eastAsia" w:ascii="仿宋" w:hAnsi="仿宋" w:eastAsia="仿宋" w:cs="仿宋"/>
                <w:sz w:val="24"/>
                <w:szCs w:val="24"/>
              </w:rPr>
            </w:pPr>
            <w:r>
              <w:rPr>
                <w:rFonts w:hint="eastAsia" w:ascii="仿宋" w:hAnsi="仿宋" w:eastAsia="仿宋" w:cs="仿宋"/>
                <w:sz w:val="24"/>
                <w:szCs w:val="24"/>
              </w:rPr>
              <w:t>执行率</w:t>
            </w:r>
          </w:p>
        </w:tc>
      </w:tr>
      <w:tr w14:paraId="477E12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1096" w:type="pct"/>
            <w:vAlign w:val="center"/>
          </w:tcPr>
          <w:p w14:paraId="046F7439">
            <w:pPr>
              <w:jc w:val="center"/>
              <w:rPr>
                <w:rFonts w:hint="eastAsia" w:ascii="仿宋" w:hAnsi="仿宋" w:eastAsia="仿宋" w:cs="仿宋"/>
                <w:sz w:val="24"/>
                <w:szCs w:val="24"/>
              </w:rPr>
            </w:pPr>
            <w:r>
              <w:rPr>
                <w:rFonts w:hint="eastAsia" w:ascii="仿宋" w:hAnsi="仿宋" w:eastAsia="仿宋" w:cs="仿宋"/>
                <w:sz w:val="24"/>
                <w:szCs w:val="24"/>
              </w:rPr>
              <w:t>基本支出</w:t>
            </w:r>
          </w:p>
        </w:tc>
        <w:tc>
          <w:tcPr>
            <w:tcW w:w="936" w:type="pct"/>
            <w:vAlign w:val="center"/>
          </w:tcPr>
          <w:p w14:paraId="76823F19">
            <w:pPr>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1088.86</w:t>
            </w:r>
          </w:p>
        </w:tc>
        <w:tc>
          <w:tcPr>
            <w:tcW w:w="990" w:type="pct"/>
            <w:vAlign w:val="center"/>
          </w:tcPr>
          <w:p w14:paraId="09497BAB">
            <w:pPr>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1196.24</w:t>
            </w:r>
          </w:p>
        </w:tc>
        <w:tc>
          <w:tcPr>
            <w:tcW w:w="1064" w:type="pct"/>
            <w:vAlign w:val="center"/>
          </w:tcPr>
          <w:p w14:paraId="3FEF6059">
            <w:pPr>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1196.24</w:t>
            </w:r>
          </w:p>
        </w:tc>
        <w:tc>
          <w:tcPr>
            <w:tcW w:w="911" w:type="pct"/>
            <w:vAlign w:val="center"/>
          </w:tcPr>
          <w:p w14:paraId="20D558FB">
            <w:pPr>
              <w:jc w:val="center"/>
              <w:rPr>
                <w:rFonts w:hint="eastAsia" w:ascii="仿宋" w:hAnsi="仿宋" w:eastAsia="仿宋" w:cs="仿宋"/>
                <w:sz w:val="24"/>
                <w:szCs w:val="24"/>
              </w:rPr>
            </w:pPr>
            <w:r>
              <w:rPr>
                <w:rFonts w:hint="eastAsia" w:ascii="仿宋" w:hAnsi="仿宋" w:eastAsia="仿宋" w:cs="仿宋"/>
                <w:sz w:val="24"/>
                <w:szCs w:val="24"/>
              </w:rPr>
              <w:t>100.00%</w:t>
            </w:r>
          </w:p>
        </w:tc>
      </w:tr>
      <w:tr w14:paraId="246B2F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1096" w:type="pct"/>
            <w:vAlign w:val="center"/>
          </w:tcPr>
          <w:p w14:paraId="76E802AA">
            <w:pPr>
              <w:jc w:val="center"/>
              <w:rPr>
                <w:rFonts w:hint="eastAsia" w:ascii="仿宋" w:hAnsi="仿宋" w:eastAsia="仿宋" w:cs="仿宋"/>
                <w:sz w:val="24"/>
                <w:szCs w:val="24"/>
              </w:rPr>
            </w:pPr>
            <w:r>
              <w:rPr>
                <w:rFonts w:hint="eastAsia" w:ascii="仿宋" w:hAnsi="仿宋" w:eastAsia="仿宋" w:cs="仿宋"/>
                <w:sz w:val="24"/>
                <w:szCs w:val="24"/>
              </w:rPr>
              <w:t>项目支出</w:t>
            </w:r>
          </w:p>
        </w:tc>
        <w:tc>
          <w:tcPr>
            <w:tcW w:w="936" w:type="pct"/>
            <w:vAlign w:val="center"/>
          </w:tcPr>
          <w:p w14:paraId="0B030E25">
            <w:pPr>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482.54</w:t>
            </w:r>
          </w:p>
        </w:tc>
        <w:tc>
          <w:tcPr>
            <w:tcW w:w="990" w:type="pct"/>
            <w:vAlign w:val="center"/>
          </w:tcPr>
          <w:p w14:paraId="756E9306">
            <w:pPr>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1269.44</w:t>
            </w:r>
          </w:p>
        </w:tc>
        <w:tc>
          <w:tcPr>
            <w:tcW w:w="1064" w:type="pct"/>
            <w:vAlign w:val="center"/>
          </w:tcPr>
          <w:p w14:paraId="41E44929">
            <w:pPr>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1269.44</w:t>
            </w:r>
          </w:p>
        </w:tc>
        <w:tc>
          <w:tcPr>
            <w:tcW w:w="911" w:type="pct"/>
            <w:vAlign w:val="center"/>
          </w:tcPr>
          <w:p w14:paraId="0018C6CF">
            <w:pPr>
              <w:jc w:val="center"/>
              <w:rPr>
                <w:rFonts w:hint="eastAsia" w:ascii="仿宋" w:hAnsi="仿宋" w:eastAsia="仿宋" w:cs="仿宋"/>
                <w:sz w:val="24"/>
                <w:szCs w:val="24"/>
              </w:rPr>
            </w:pPr>
            <w:r>
              <w:rPr>
                <w:rFonts w:hint="eastAsia" w:ascii="仿宋" w:hAnsi="仿宋" w:eastAsia="仿宋" w:cs="仿宋"/>
                <w:sz w:val="24"/>
                <w:szCs w:val="24"/>
              </w:rPr>
              <w:t>100.00%</w:t>
            </w:r>
          </w:p>
        </w:tc>
      </w:tr>
      <w:tr w14:paraId="1DA948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3" w:hRule="atLeast"/>
        </w:trPr>
        <w:tc>
          <w:tcPr>
            <w:tcW w:w="1096" w:type="pct"/>
            <w:vAlign w:val="center"/>
          </w:tcPr>
          <w:p w14:paraId="5C35D7FB">
            <w:pPr>
              <w:jc w:val="center"/>
              <w:rPr>
                <w:rFonts w:hint="eastAsia" w:ascii="仿宋" w:hAnsi="仿宋" w:eastAsia="仿宋" w:cs="仿宋"/>
                <w:sz w:val="24"/>
                <w:szCs w:val="24"/>
              </w:rPr>
            </w:pPr>
            <w:r>
              <w:rPr>
                <w:rFonts w:hint="eastAsia" w:ascii="仿宋" w:hAnsi="仿宋" w:eastAsia="仿宋" w:cs="仿宋"/>
                <w:sz w:val="24"/>
                <w:szCs w:val="24"/>
              </w:rPr>
              <w:t>合计</w:t>
            </w:r>
          </w:p>
        </w:tc>
        <w:tc>
          <w:tcPr>
            <w:tcW w:w="936" w:type="pct"/>
            <w:vAlign w:val="center"/>
          </w:tcPr>
          <w:p w14:paraId="3F66FFDD">
            <w:pPr>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1571.4</w:t>
            </w:r>
          </w:p>
        </w:tc>
        <w:tc>
          <w:tcPr>
            <w:tcW w:w="990" w:type="pct"/>
            <w:vAlign w:val="center"/>
          </w:tcPr>
          <w:p w14:paraId="0A054669">
            <w:pPr>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2465.68</w:t>
            </w:r>
          </w:p>
        </w:tc>
        <w:tc>
          <w:tcPr>
            <w:tcW w:w="1064" w:type="pct"/>
            <w:vAlign w:val="center"/>
          </w:tcPr>
          <w:p w14:paraId="39D3649B">
            <w:pPr>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2465.68</w:t>
            </w:r>
          </w:p>
        </w:tc>
        <w:tc>
          <w:tcPr>
            <w:tcW w:w="911" w:type="pct"/>
            <w:vAlign w:val="center"/>
          </w:tcPr>
          <w:p w14:paraId="686CE86D">
            <w:pPr>
              <w:jc w:val="center"/>
              <w:rPr>
                <w:rFonts w:hint="eastAsia" w:ascii="仿宋" w:hAnsi="仿宋" w:eastAsia="仿宋" w:cs="仿宋"/>
                <w:sz w:val="24"/>
                <w:szCs w:val="24"/>
              </w:rPr>
            </w:pPr>
            <w:r>
              <w:rPr>
                <w:rFonts w:hint="eastAsia" w:ascii="仿宋" w:hAnsi="仿宋" w:eastAsia="仿宋" w:cs="仿宋"/>
                <w:sz w:val="24"/>
                <w:szCs w:val="24"/>
              </w:rPr>
              <w:t>100.00%</w:t>
            </w:r>
          </w:p>
        </w:tc>
      </w:tr>
    </w:tbl>
    <w:p w14:paraId="3A74AED5">
      <w:pPr>
        <w:pStyle w:val="3"/>
        <w:widowControl w:val="0"/>
        <w:autoSpaceDE/>
        <w:autoSpaceDN/>
        <w:spacing w:line="560" w:lineRule="exact"/>
        <w:ind w:firstLine="631" w:firstLineChars="200"/>
        <w:textAlignment w:val="auto"/>
        <w:outlineLvl w:val="2"/>
        <w:rPr>
          <w:b/>
          <w:bCs/>
          <w:spacing w:val="-3"/>
          <w:sz w:val="32"/>
          <w:szCs w:val="32"/>
          <w:lang w:eastAsia="zh-CN"/>
        </w:rPr>
      </w:pPr>
      <w:r>
        <w:rPr>
          <w:rFonts w:hint="eastAsia"/>
          <w:b/>
          <w:bCs/>
          <w:spacing w:val="-3"/>
          <w:sz w:val="32"/>
          <w:szCs w:val="32"/>
          <w:lang w:val="en-US" w:eastAsia="zh-CN"/>
        </w:rPr>
        <w:t>2</w:t>
      </w:r>
      <w:r>
        <w:rPr>
          <w:rFonts w:hint="eastAsia"/>
          <w:b/>
          <w:bCs/>
          <w:spacing w:val="-3"/>
          <w:sz w:val="32"/>
          <w:szCs w:val="32"/>
          <w:lang w:eastAsia="zh-CN"/>
        </w:rPr>
        <w:t>、“三公经费”情况</w:t>
      </w:r>
    </w:p>
    <w:p w14:paraId="63DAEF17">
      <w:pPr>
        <w:widowControl w:val="0"/>
        <w:kinsoku/>
        <w:autoSpaceDE/>
        <w:autoSpaceDN/>
        <w:adjustRightInd/>
        <w:snapToGrid/>
        <w:spacing w:line="560" w:lineRule="exact"/>
        <w:ind w:firstLine="640" w:firstLineChars="200"/>
        <w:contextualSpacing/>
        <w:jc w:val="both"/>
        <w:textAlignment w:val="auto"/>
        <w:rPr>
          <w:rFonts w:ascii="仿宋_GB2312" w:hAnsi="仿宋_GB2312" w:eastAsia="仿宋_GB2312" w:cs="仿宋_GB2312"/>
          <w:snapToGrid/>
          <w:kern w:val="2"/>
          <w:sz w:val="32"/>
          <w:szCs w:val="32"/>
          <w:lang w:eastAsia="zh-CN"/>
        </w:rPr>
      </w:pPr>
      <w:r>
        <w:rPr>
          <w:rFonts w:hint="eastAsia" w:ascii="仿宋_GB2312" w:hAnsi="仿宋_GB2312" w:eastAsia="仿宋_GB2312" w:cs="仿宋_GB2312"/>
          <w:snapToGrid/>
          <w:kern w:val="2"/>
          <w:sz w:val="32"/>
          <w:szCs w:val="32"/>
          <w:lang w:eastAsia="zh-CN"/>
        </w:rPr>
        <w:t>南京仲裁委员会办公室</w:t>
      </w:r>
      <w:r>
        <w:rPr>
          <w:rFonts w:ascii="仿宋_GB2312" w:hAnsi="仿宋_GB2312" w:eastAsia="仿宋_GB2312" w:cs="仿宋_GB2312"/>
          <w:snapToGrid/>
          <w:kern w:val="2"/>
          <w:sz w:val="32"/>
          <w:szCs w:val="32"/>
          <w:lang w:eastAsia="zh-CN"/>
        </w:rPr>
        <w:t>202</w:t>
      </w:r>
      <w:r>
        <w:rPr>
          <w:rFonts w:hint="eastAsia" w:ascii="仿宋_GB2312" w:hAnsi="仿宋_GB2312" w:eastAsia="仿宋_GB2312" w:cs="仿宋_GB2312"/>
          <w:snapToGrid/>
          <w:kern w:val="2"/>
          <w:sz w:val="32"/>
          <w:szCs w:val="32"/>
          <w:lang w:val="en-US" w:eastAsia="zh-CN"/>
        </w:rPr>
        <w:t>5</w:t>
      </w:r>
      <w:r>
        <w:rPr>
          <w:rFonts w:ascii="仿宋_GB2312" w:hAnsi="仿宋_GB2312" w:eastAsia="仿宋_GB2312" w:cs="仿宋_GB2312"/>
          <w:snapToGrid/>
          <w:kern w:val="2"/>
          <w:sz w:val="32"/>
          <w:szCs w:val="32"/>
          <w:lang w:eastAsia="zh-CN"/>
        </w:rPr>
        <w:t>年“三公经费”</w:t>
      </w:r>
      <w:r>
        <w:rPr>
          <w:rFonts w:hint="eastAsia" w:ascii="仿宋_GB2312" w:hAnsi="仿宋_GB2312" w:eastAsia="仿宋_GB2312" w:cs="仿宋_GB2312"/>
          <w:snapToGrid/>
          <w:kern w:val="2"/>
          <w:sz w:val="32"/>
          <w:szCs w:val="32"/>
          <w:lang w:eastAsia="zh-CN"/>
        </w:rPr>
        <w:t>年初</w:t>
      </w:r>
      <w:r>
        <w:rPr>
          <w:rFonts w:ascii="仿宋_GB2312" w:hAnsi="仿宋_GB2312" w:eastAsia="仿宋_GB2312" w:cs="仿宋_GB2312"/>
          <w:snapToGrid/>
          <w:kern w:val="2"/>
          <w:sz w:val="32"/>
          <w:szCs w:val="32"/>
          <w:lang w:eastAsia="zh-CN"/>
        </w:rPr>
        <w:t>预算安排</w:t>
      </w:r>
      <w:r>
        <w:rPr>
          <w:rFonts w:hint="eastAsia" w:ascii="仿宋_GB2312" w:hAnsi="仿宋_GB2312" w:eastAsia="仿宋_GB2312" w:cs="仿宋_GB2312"/>
          <w:snapToGrid/>
          <w:kern w:val="2"/>
          <w:sz w:val="32"/>
          <w:szCs w:val="32"/>
          <w:lang w:eastAsia="zh-CN"/>
        </w:rPr>
        <w:t>6.13</w:t>
      </w:r>
      <w:r>
        <w:rPr>
          <w:rFonts w:ascii="仿宋_GB2312" w:hAnsi="仿宋_GB2312" w:eastAsia="仿宋_GB2312" w:cs="仿宋_GB2312"/>
          <w:snapToGrid/>
          <w:kern w:val="2"/>
          <w:sz w:val="32"/>
          <w:szCs w:val="32"/>
          <w:lang w:eastAsia="zh-CN"/>
        </w:rPr>
        <w:t>万元，其中：公务用车购置及运行费预算安排</w:t>
      </w:r>
      <w:r>
        <w:rPr>
          <w:rFonts w:hint="eastAsia" w:ascii="仿宋_GB2312" w:hAnsi="仿宋_GB2312" w:eastAsia="仿宋_GB2312" w:cs="仿宋_GB2312"/>
          <w:snapToGrid/>
          <w:kern w:val="2"/>
          <w:sz w:val="32"/>
          <w:szCs w:val="32"/>
          <w:lang w:eastAsia="zh-CN"/>
        </w:rPr>
        <w:t>4.93</w:t>
      </w:r>
      <w:r>
        <w:rPr>
          <w:rFonts w:ascii="仿宋_GB2312" w:hAnsi="仿宋_GB2312" w:eastAsia="仿宋_GB2312" w:cs="仿宋_GB2312"/>
          <w:snapToGrid/>
          <w:kern w:val="2"/>
          <w:sz w:val="32"/>
          <w:szCs w:val="32"/>
          <w:lang w:eastAsia="zh-CN"/>
        </w:rPr>
        <w:t>万元，公务接待费预算安排</w:t>
      </w:r>
      <w:r>
        <w:rPr>
          <w:rFonts w:hint="eastAsia" w:ascii="仿宋_GB2312" w:hAnsi="仿宋_GB2312" w:eastAsia="仿宋_GB2312" w:cs="仿宋_GB2312"/>
          <w:snapToGrid/>
          <w:kern w:val="2"/>
          <w:sz w:val="32"/>
          <w:szCs w:val="32"/>
          <w:lang w:eastAsia="zh-CN"/>
        </w:rPr>
        <w:t>1.2</w:t>
      </w:r>
      <w:r>
        <w:rPr>
          <w:rFonts w:ascii="仿宋_GB2312" w:hAnsi="仿宋_GB2312" w:eastAsia="仿宋_GB2312" w:cs="仿宋_GB2312"/>
          <w:snapToGrid/>
          <w:kern w:val="2"/>
          <w:sz w:val="32"/>
          <w:szCs w:val="32"/>
          <w:lang w:eastAsia="zh-CN"/>
        </w:rPr>
        <w:t>万元。“三公经费”当年实际执行</w:t>
      </w:r>
      <w:r>
        <w:rPr>
          <w:rFonts w:hint="eastAsia" w:ascii="仿宋_GB2312" w:hAnsi="仿宋_GB2312" w:eastAsia="仿宋_GB2312" w:cs="仿宋_GB2312"/>
          <w:snapToGrid/>
          <w:kern w:val="2"/>
          <w:sz w:val="32"/>
          <w:szCs w:val="32"/>
          <w:lang w:val="en-US" w:eastAsia="zh-CN"/>
        </w:rPr>
        <w:t>8.35</w:t>
      </w:r>
      <w:r>
        <w:rPr>
          <w:rFonts w:ascii="仿宋_GB2312" w:hAnsi="仿宋_GB2312" w:eastAsia="仿宋_GB2312" w:cs="仿宋_GB2312"/>
          <w:snapToGrid/>
          <w:kern w:val="2"/>
          <w:sz w:val="32"/>
          <w:szCs w:val="32"/>
          <w:lang w:eastAsia="zh-CN"/>
        </w:rPr>
        <w:t>万元，其中：公务用车购置及运行费实际执行</w:t>
      </w:r>
      <w:r>
        <w:rPr>
          <w:rFonts w:hint="eastAsia" w:ascii="仿宋_GB2312" w:hAnsi="仿宋_GB2312" w:eastAsia="仿宋_GB2312" w:cs="仿宋_GB2312"/>
          <w:snapToGrid/>
          <w:kern w:val="2"/>
          <w:sz w:val="32"/>
          <w:szCs w:val="32"/>
          <w:lang w:val="en-US" w:eastAsia="zh-CN"/>
        </w:rPr>
        <w:t>4.15</w:t>
      </w:r>
      <w:r>
        <w:rPr>
          <w:rFonts w:ascii="仿宋_GB2312" w:hAnsi="仿宋_GB2312" w:eastAsia="仿宋_GB2312" w:cs="仿宋_GB2312"/>
          <w:snapToGrid/>
          <w:kern w:val="2"/>
          <w:sz w:val="32"/>
          <w:szCs w:val="32"/>
          <w:lang w:eastAsia="zh-CN"/>
        </w:rPr>
        <w:t>万元，公务接待费</w:t>
      </w:r>
      <w:r>
        <w:rPr>
          <w:rFonts w:hint="eastAsia" w:ascii="仿宋_GB2312" w:hAnsi="仿宋_GB2312" w:eastAsia="仿宋_GB2312" w:cs="仿宋_GB2312"/>
          <w:snapToGrid/>
          <w:kern w:val="2"/>
          <w:sz w:val="32"/>
          <w:szCs w:val="32"/>
          <w:lang w:val="en-US" w:eastAsia="zh-CN"/>
        </w:rPr>
        <w:t>0.97</w:t>
      </w:r>
      <w:r>
        <w:rPr>
          <w:rFonts w:hint="eastAsia" w:ascii="仿宋_GB2312" w:hAnsi="仿宋_GB2312" w:eastAsia="仿宋_GB2312" w:cs="仿宋_GB2312"/>
          <w:snapToGrid/>
          <w:kern w:val="2"/>
          <w:sz w:val="32"/>
          <w:szCs w:val="32"/>
          <w:lang w:eastAsia="zh-CN"/>
        </w:rPr>
        <w:t>万元，追加因公出国（境）费用</w:t>
      </w:r>
      <w:r>
        <w:rPr>
          <w:rFonts w:hint="eastAsia" w:ascii="仿宋_GB2312" w:hAnsi="仿宋_GB2312" w:eastAsia="仿宋_GB2312" w:cs="仿宋_GB2312"/>
          <w:snapToGrid/>
          <w:kern w:val="2"/>
          <w:sz w:val="32"/>
          <w:szCs w:val="32"/>
          <w:lang w:val="en-US" w:eastAsia="zh-CN"/>
        </w:rPr>
        <w:t>3.23</w:t>
      </w:r>
      <w:r>
        <w:rPr>
          <w:rFonts w:ascii="仿宋_GB2312" w:hAnsi="仿宋_GB2312" w:eastAsia="仿宋_GB2312" w:cs="仿宋_GB2312"/>
          <w:snapToGrid/>
          <w:kern w:val="2"/>
          <w:sz w:val="32"/>
          <w:szCs w:val="32"/>
          <w:lang w:eastAsia="zh-CN"/>
        </w:rPr>
        <w:t>，符合“三公经费”管理的相关要求。详情见表</w:t>
      </w:r>
      <w:r>
        <w:rPr>
          <w:rFonts w:hint="eastAsia" w:ascii="仿宋_GB2312" w:hAnsi="仿宋_GB2312" w:eastAsia="仿宋_GB2312" w:cs="仿宋_GB2312"/>
          <w:snapToGrid/>
          <w:kern w:val="2"/>
          <w:sz w:val="32"/>
          <w:szCs w:val="32"/>
          <w:lang w:val="en-US" w:eastAsia="zh-CN"/>
        </w:rPr>
        <w:t>3</w:t>
      </w:r>
      <w:r>
        <w:rPr>
          <w:rFonts w:ascii="仿宋_GB2312" w:hAnsi="仿宋_GB2312" w:eastAsia="仿宋_GB2312" w:cs="仿宋_GB2312"/>
          <w:snapToGrid/>
          <w:kern w:val="2"/>
          <w:sz w:val="32"/>
          <w:szCs w:val="32"/>
          <w:lang w:eastAsia="zh-CN"/>
        </w:rPr>
        <w:t>。</w:t>
      </w:r>
    </w:p>
    <w:p w14:paraId="7B207797">
      <w:pPr>
        <w:widowControl w:val="0"/>
        <w:kinsoku/>
        <w:autoSpaceDE/>
        <w:autoSpaceDN/>
        <w:adjustRightInd/>
        <w:snapToGrid/>
        <w:spacing w:line="560" w:lineRule="exact"/>
        <w:contextualSpacing/>
        <w:jc w:val="center"/>
        <w:textAlignment w:val="auto"/>
        <w:rPr>
          <w:rFonts w:hint="eastAsia" w:ascii="仿宋_GB2312" w:hAnsi="仿宋_GB2312" w:eastAsia="仿宋_GB2312" w:cs="仿宋_GB2312"/>
          <w:snapToGrid/>
          <w:kern w:val="2"/>
          <w:sz w:val="28"/>
          <w:szCs w:val="28"/>
          <w:lang w:eastAsia="zh-CN"/>
        </w:rPr>
      </w:pPr>
      <w:r>
        <w:rPr>
          <w:rFonts w:hint="eastAsia" w:ascii="仿宋_GB2312" w:hAnsi="仿宋_GB2312" w:eastAsia="仿宋_GB2312" w:cs="仿宋_GB2312"/>
          <w:snapToGrid/>
          <w:kern w:val="2"/>
          <w:sz w:val="28"/>
          <w:szCs w:val="28"/>
          <w:lang w:eastAsia="zh-CN"/>
        </w:rPr>
        <w:t>表</w:t>
      </w:r>
      <w:r>
        <w:rPr>
          <w:rFonts w:hint="eastAsia" w:ascii="仿宋_GB2312" w:hAnsi="仿宋_GB2312" w:eastAsia="仿宋_GB2312" w:cs="仿宋_GB2312"/>
          <w:snapToGrid/>
          <w:kern w:val="2"/>
          <w:sz w:val="28"/>
          <w:szCs w:val="28"/>
          <w:lang w:val="en-US" w:eastAsia="zh-CN"/>
        </w:rPr>
        <w:t>3</w:t>
      </w:r>
      <w:r>
        <w:rPr>
          <w:rFonts w:hint="eastAsia" w:ascii="仿宋_GB2312" w:hAnsi="仿宋_GB2312" w:eastAsia="仿宋_GB2312" w:cs="仿宋_GB2312"/>
          <w:snapToGrid/>
          <w:kern w:val="2"/>
          <w:sz w:val="28"/>
          <w:szCs w:val="28"/>
          <w:lang w:eastAsia="zh-CN"/>
        </w:rPr>
        <w:t>：202</w:t>
      </w:r>
      <w:r>
        <w:rPr>
          <w:rFonts w:hint="eastAsia" w:ascii="仿宋_GB2312" w:hAnsi="仿宋_GB2312" w:eastAsia="仿宋_GB2312" w:cs="仿宋_GB2312"/>
          <w:snapToGrid/>
          <w:kern w:val="2"/>
          <w:sz w:val="28"/>
          <w:szCs w:val="28"/>
          <w:lang w:val="en-US" w:eastAsia="zh-CN"/>
        </w:rPr>
        <w:t>5</w:t>
      </w:r>
      <w:r>
        <w:rPr>
          <w:rFonts w:hint="eastAsia" w:ascii="仿宋_GB2312" w:hAnsi="仿宋_GB2312" w:eastAsia="仿宋_GB2312" w:cs="仿宋_GB2312"/>
          <w:snapToGrid/>
          <w:kern w:val="2"/>
          <w:sz w:val="28"/>
          <w:szCs w:val="28"/>
          <w:lang w:eastAsia="zh-CN"/>
        </w:rPr>
        <w:t>年南京仲裁委员会办公室“三公经费”</w:t>
      </w:r>
    </w:p>
    <w:p w14:paraId="60214088">
      <w:pPr>
        <w:widowControl w:val="0"/>
        <w:kinsoku/>
        <w:autoSpaceDE/>
        <w:autoSpaceDN/>
        <w:adjustRightInd/>
        <w:snapToGrid/>
        <w:spacing w:line="560" w:lineRule="exact"/>
        <w:contextualSpacing/>
        <w:jc w:val="center"/>
        <w:textAlignment w:val="auto"/>
        <w:rPr>
          <w:rFonts w:ascii="仿宋_GB2312" w:hAnsi="仿宋_GB2312" w:eastAsia="仿宋_GB2312" w:cs="仿宋_GB2312"/>
          <w:snapToGrid/>
          <w:kern w:val="2"/>
          <w:sz w:val="28"/>
          <w:szCs w:val="28"/>
          <w:lang w:eastAsia="zh-CN"/>
        </w:rPr>
      </w:pPr>
      <w:r>
        <w:rPr>
          <w:rFonts w:hint="eastAsia" w:ascii="仿宋_GB2312" w:hAnsi="仿宋_GB2312" w:eastAsia="仿宋_GB2312" w:cs="仿宋_GB2312"/>
          <w:snapToGrid/>
          <w:kern w:val="2"/>
          <w:sz w:val="28"/>
          <w:szCs w:val="28"/>
          <w:lang w:eastAsia="zh-CN"/>
        </w:rPr>
        <w:t>预算安排与支出情况</w:t>
      </w:r>
    </w:p>
    <w:p w14:paraId="09BAD87C">
      <w:pPr>
        <w:widowControl w:val="0"/>
        <w:kinsoku/>
        <w:autoSpaceDE/>
        <w:autoSpaceDN/>
        <w:adjustRightInd/>
        <w:snapToGrid/>
        <w:spacing w:line="560" w:lineRule="exact"/>
        <w:contextualSpacing/>
        <w:jc w:val="right"/>
        <w:textAlignment w:val="auto"/>
        <w:rPr>
          <w:rFonts w:ascii="仿宋_GB2312" w:hAnsi="仿宋_GB2312" w:eastAsia="仿宋_GB2312" w:cs="仿宋_GB2312"/>
          <w:snapToGrid/>
          <w:kern w:val="2"/>
          <w:sz w:val="28"/>
          <w:szCs w:val="28"/>
          <w:lang w:eastAsia="zh-CN"/>
        </w:rPr>
      </w:pPr>
      <w:r>
        <w:rPr>
          <w:rFonts w:hint="eastAsia" w:ascii="仿宋_GB2312" w:hAnsi="仿宋_GB2312" w:eastAsia="仿宋_GB2312" w:cs="仿宋_GB2312"/>
          <w:snapToGrid/>
          <w:kern w:val="2"/>
          <w:sz w:val="28"/>
          <w:szCs w:val="28"/>
          <w:lang w:eastAsia="zh-CN"/>
        </w:rPr>
        <w:t>单位：万元</w:t>
      </w:r>
    </w:p>
    <w:tbl>
      <w:tblPr>
        <w:tblStyle w:val="10"/>
        <w:tblW w:w="5032"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2160"/>
        <w:gridCol w:w="2110"/>
        <w:gridCol w:w="1692"/>
        <w:gridCol w:w="1493"/>
        <w:gridCol w:w="1042"/>
      </w:tblGrid>
      <w:tr w14:paraId="664E17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3" w:hRule="atLeast"/>
        </w:trPr>
        <w:tc>
          <w:tcPr>
            <w:tcW w:w="1270" w:type="pct"/>
            <w:shd w:val="clear" w:color="auto" w:fill="B6B8BB"/>
            <w:vAlign w:val="center"/>
          </w:tcPr>
          <w:p w14:paraId="7A394C8E">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支出类别</w:t>
            </w:r>
          </w:p>
        </w:tc>
        <w:tc>
          <w:tcPr>
            <w:tcW w:w="1241" w:type="pct"/>
            <w:shd w:val="clear" w:color="auto" w:fill="B7B9BC"/>
            <w:vAlign w:val="center"/>
          </w:tcPr>
          <w:p w14:paraId="67993C23">
            <w:pPr>
              <w:jc w:val="center"/>
              <w:rPr>
                <w:rFonts w:hint="eastAsia" w:ascii="仿宋" w:hAnsi="仿宋" w:eastAsia="仿宋" w:cs="仿宋"/>
                <w:sz w:val="24"/>
                <w:szCs w:val="24"/>
              </w:rPr>
            </w:pPr>
            <w:r>
              <w:rPr>
                <w:rFonts w:hint="eastAsia" w:ascii="仿宋" w:hAnsi="仿宋" w:eastAsia="仿宋" w:cs="仿宋"/>
                <w:sz w:val="24"/>
                <w:szCs w:val="24"/>
              </w:rPr>
              <w:t>年初预算数</w:t>
            </w:r>
          </w:p>
        </w:tc>
        <w:tc>
          <w:tcPr>
            <w:tcW w:w="995" w:type="pct"/>
            <w:shd w:val="clear" w:color="auto" w:fill="B7B8BB"/>
            <w:vAlign w:val="center"/>
          </w:tcPr>
          <w:p w14:paraId="0040F0F4">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调整后预算数</w:t>
            </w:r>
          </w:p>
        </w:tc>
        <w:tc>
          <w:tcPr>
            <w:tcW w:w="878" w:type="pct"/>
            <w:shd w:val="clear" w:color="auto" w:fill="B8B8BB"/>
            <w:vAlign w:val="center"/>
          </w:tcPr>
          <w:p w14:paraId="3DF27E0F">
            <w:pPr>
              <w:jc w:val="center"/>
              <w:rPr>
                <w:rFonts w:hint="eastAsia" w:ascii="仿宋" w:hAnsi="仿宋" w:eastAsia="仿宋" w:cs="仿宋"/>
                <w:sz w:val="24"/>
                <w:szCs w:val="24"/>
              </w:rPr>
            </w:pPr>
            <w:r>
              <w:rPr>
                <w:rFonts w:hint="eastAsia" w:ascii="仿宋" w:hAnsi="仿宋" w:eastAsia="仿宋" w:cs="仿宋"/>
                <w:sz w:val="24"/>
                <w:szCs w:val="24"/>
              </w:rPr>
              <w:t>实际支出数</w:t>
            </w:r>
          </w:p>
        </w:tc>
        <w:tc>
          <w:tcPr>
            <w:tcW w:w="613" w:type="pct"/>
            <w:shd w:val="clear" w:color="auto" w:fill="B6B7BB"/>
            <w:vAlign w:val="center"/>
          </w:tcPr>
          <w:p w14:paraId="5AD1FB87">
            <w:pPr>
              <w:jc w:val="center"/>
              <w:rPr>
                <w:rFonts w:hint="eastAsia" w:ascii="仿宋" w:hAnsi="仿宋" w:eastAsia="仿宋" w:cs="仿宋"/>
                <w:sz w:val="24"/>
                <w:szCs w:val="24"/>
              </w:rPr>
            </w:pPr>
            <w:r>
              <w:rPr>
                <w:rFonts w:hint="eastAsia" w:ascii="仿宋" w:hAnsi="仿宋" w:eastAsia="仿宋" w:cs="仿宋"/>
                <w:sz w:val="24"/>
                <w:szCs w:val="24"/>
              </w:rPr>
              <w:t>预算</w:t>
            </w:r>
          </w:p>
          <w:p w14:paraId="221189A0">
            <w:pPr>
              <w:jc w:val="center"/>
              <w:rPr>
                <w:rFonts w:hint="eastAsia" w:ascii="仿宋" w:hAnsi="仿宋" w:eastAsia="仿宋" w:cs="仿宋"/>
                <w:sz w:val="24"/>
                <w:szCs w:val="24"/>
              </w:rPr>
            </w:pPr>
            <w:r>
              <w:rPr>
                <w:rFonts w:hint="eastAsia" w:ascii="仿宋" w:hAnsi="仿宋" w:eastAsia="仿宋" w:cs="仿宋"/>
                <w:sz w:val="24"/>
                <w:szCs w:val="24"/>
              </w:rPr>
              <w:t>执行率</w:t>
            </w:r>
          </w:p>
        </w:tc>
      </w:tr>
      <w:tr w14:paraId="2867AF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1270" w:type="pct"/>
            <w:vAlign w:val="center"/>
          </w:tcPr>
          <w:p w14:paraId="2D2B0BC4">
            <w:pPr>
              <w:jc w:val="center"/>
              <w:rPr>
                <w:rFonts w:hint="eastAsia" w:ascii="仿宋" w:hAnsi="仿宋" w:eastAsia="仿宋" w:cs="仿宋"/>
                <w:sz w:val="24"/>
                <w:szCs w:val="24"/>
              </w:rPr>
            </w:pPr>
            <w:r>
              <w:rPr>
                <w:rFonts w:hint="eastAsia" w:ascii="仿宋" w:hAnsi="仿宋" w:eastAsia="仿宋" w:cs="仿宋"/>
                <w:sz w:val="24"/>
                <w:szCs w:val="24"/>
                <w:lang w:eastAsia="zh-CN"/>
              </w:rPr>
              <w:t>公务用车购置及运行费</w:t>
            </w:r>
          </w:p>
        </w:tc>
        <w:tc>
          <w:tcPr>
            <w:tcW w:w="1241" w:type="pct"/>
            <w:vAlign w:val="center"/>
          </w:tcPr>
          <w:p w14:paraId="1B127EBC">
            <w:pPr>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4.93</w:t>
            </w:r>
          </w:p>
        </w:tc>
        <w:tc>
          <w:tcPr>
            <w:tcW w:w="995" w:type="pct"/>
            <w:vAlign w:val="center"/>
          </w:tcPr>
          <w:p w14:paraId="62B7BB0F">
            <w:pPr>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4.15</w:t>
            </w:r>
          </w:p>
        </w:tc>
        <w:tc>
          <w:tcPr>
            <w:tcW w:w="878" w:type="pct"/>
            <w:vAlign w:val="center"/>
          </w:tcPr>
          <w:p w14:paraId="2CDD2F7C">
            <w:pPr>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4.15</w:t>
            </w:r>
          </w:p>
        </w:tc>
        <w:tc>
          <w:tcPr>
            <w:tcW w:w="613" w:type="pct"/>
            <w:vAlign w:val="center"/>
          </w:tcPr>
          <w:p w14:paraId="5F03FBB0">
            <w:pPr>
              <w:jc w:val="center"/>
              <w:rPr>
                <w:rFonts w:hint="eastAsia" w:ascii="仿宋" w:hAnsi="仿宋" w:eastAsia="仿宋" w:cs="仿宋"/>
                <w:sz w:val="24"/>
                <w:szCs w:val="24"/>
              </w:rPr>
            </w:pPr>
            <w:r>
              <w:rPr>
                <w:rFonts w:hint="eastAsia" w:ascii="仿宋" w:hAnsi="仿宋" w:eastAsia="仿宋" w:cs="仿宋"/>
                <w:sz w:val="24"/>
                <w:szCs w:val="24"/>
              </w:rPr>
              <w:t>100.00%</w:t>
            </w:r>
          </w:p>
        </w:tc>
      </w:tr>
      <w:tr w14:paraId="402B8B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1270" w:type="pct"/>
            <w:vAlign w:val="center"/>
          </w:tcPr>
          <w:p w14:paraId="0FD45602">
            <w:pPr>
              <w:jc w:val="center"/>
              <w:rPr>
                <w:rFonts w:hint="eastAsia" w:ascii="仿宋" w:hAnsi="仿宋" w:eastAsia="仿宋" w:cs="仿宋"/>
                <w:sz w:val="24"/>
                <w:szCs w:val="24"/>
              </w:rPr>
            </w:pPr>
            <w:r>
              <w:rPr>
                <w:rFonts w:hint="eastAsia" w:ascii="仿宋" w:hAnsi="仿宋" w:eastAsia="仿宋" w:cs="仿宋"/>
                <w:sz w:val="24"/>
                <w:szCs w:val="24"/>
                <w:lang w:eastAsia="zh-CN"/>
              </w:rPr>
              <w:t>公务接待费</w:t>
            </w:r>
          </w:p>
        </w:tc>
        <w:tc>
          <w:tcPr>
            <w:tcW w:w="1241" w:type="pct"/>
            <w:vAlign w:val="center"/>
          </w:tcPr>
          <w:p w14:paraId="0824B5DC">
            <w:pPr>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1.2</w:t>
            </w:r>
          </w:p>
        </w:tc>
        <w:tc>
          <w:tcPr>
            <w:tcW w:w="995" w:type="pct"/>
            <w:vAlign w:val="center"/>
          </w:tcPr>
          <w:p w14:paraId="191E3B9C">
            <w:pPr>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0.97</w:t>
            </w:r>
          </w:p>
        </w:tc>
        <w:tc>
          <w:tcPr>
            <w:tcW w:w="878" w:type="pct"/>
            <w:vAlign w:val="center"/>
          </w:tcPr>
          <w:p w14:paraId="004E5242">
            <w:pPr>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0.97</w:t>
            </w:r>
          </w:p>
        </w:tc>
        <w:tc>
          <w:tcPr>
            <w:tcW w:w="613" w:type="pct"/>
            <w:vAlign w:val="center"/>
          </w:tcPr>
          <w:p w14:paraId="5ACAE143">
            <w:pPr>
              <w:jc w:val="center"/>
              <w:rPr>
                <w:rFonts w:hint="eastAsia" w:ascii="仿宋" w:hAnsi="仿宋" w:eastAsia="仿宋" w:cs="仿宋"/>
                <w:sz w:val="24"/>
                <w:szCs w:val="24"/>
              </w:rPr>
            </w:pPr>
            <w:r>
              <w:rPr>
                <w:rFonts w:hint="eastAsia" w:ascii="仿宋" w:hAnsi="仿宋" w:eastAsia="仿宋" w:cs="仿宋"/>
                <w:sz w:val="24"/>
                <w:szCs w:val="24"/>
              </w:rPr>
              <w:t>100.00%</w:t>
            </w:r>
          </w:p>
        </w:tc>
      </w:tr>
      <w:tr w14:paraId="30E038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1270" w:type="pct"/>
            <w:vAlign w:val="center"/>
          </w:tcPr>
          <w:p w14:paraId="0A490400">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因公出国（境）费</w:t>
            </w:r>
          </w:p>
        </w:tc>
        <w:tc>
          <w:tcPr>
            <w:tcW w:w="1241" w:type="pct"/>
            <w:vAlign w:val="center"/>
          </w:tcPr>
          <w:p w14:paraId="2916945D">
            <w:pPr>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0</w:t>
            </w:r>
          </w:p>
        </w:tc>
        <w:tc>
          <w:tcPr>
            <w:tcW w:w="995" w:type="pct"/>
            <w:vAlign w:val="center"/>
          </w:tcPr>
          <w:p w14:paraId="51F300C5">
            <w:pPr>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3.23</w:t>
            </w:r>
          </w:p>
        </w:tc>
        <w:tc>
          <w:tcPr>
            <w:tcW w:w="878" w:type="pct"/>
            <w:vAlign w:val="center"/>
          </w:tcPr>
          <w:p w14:paraId="0986AA0E">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3.23</w:t>
            </w:r>
          </w:p>
        </w:tc>
        <w:tc>
          <w:tcPr>
            <w:tcW w:w="613" w:type="pct"/>
            <w:vAlign w:val="center"/>
          </w:tcPr>
          <w:p w14:paraId="415FB719">
            <w:pPr>
              <w:jc w:val="center"/>
              <w:rPr>
                <w:rFonts w:hint="eastAsia" w:ascii="仿宋" w:hAnsi="仿宋" w:eastAsia="仿宋" w:cs="仿宋"/>
                <w:sz w:val="24"/>
                <w:szCs w:val="24"/>
              </w:rPr>
            </w:pPr>
            <w:r>
              <w:rPr>
                <w:rFonts w:hint="eastAsia" w:ascii="仿宋" w:hAnsi="仿宋" w:eastAsia="仿宋" w:cs="仿宋"/>
                <w:sz w:val="24"/>
                <w:szCs w:val="24"/>
              </w:rPr>
              <w:t>100.00%</w:t>
            </w:r>
          </w:p>
        </w:tc>
      </w:tr>
      <w:tr w14:paraId="64DC3B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3" w:hRule="atLeast"/>
        </w:trPr>
        <w:tc>
          <w:tcPr>
            <w:tcW w:w="1270" w:type="pct"/>
            <w:vAlign w:val="center"/>
          </w:tcPr>
          <w:p w14:paraId="4E279731">
            <w:pPr>
              <w:jc w:val="center"/>
              <w:rPr>
                <w:rFonts w:hint="eastAsia" w:ascii="仿宋" w:hAnsi="仿宋" w:eastAsia="仿宋" w:cs="仿宋"/>
                <w:sz w:val="24"/>
                <w:szCs w:val="24"/>
              </w:rPr>
            </w:pPr>
            <w:r>
              <w:rPr>
                <w:rFonts w:hint="eastAsia" w:ascii="仿宋" w:hAnsi="仿宋" w:eastAsia="仿宋" w:cs="仿宋"/>
                <w:sz w:val="24"/>
                <w:szCs w:val="24"/>
              </w:rPr>
              <w:t>合计</w:t>
            </w:r>
          </w:p>
        </w:tc>
        <w:tc>
          <w:tcPr>
            <w:tcW w:w="1241" w:type="pct"/>
            <w:vAlign w:val="center"/>
          </w:tcPr>
          <w:p w14:paraId="08FF7A9A">
            <w:pPr>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6.13</w:t>
            </w:r>
          </w:p>
        </w:tc>
        <w:tc>
          <w:tcPr>
            <w:tcW w:w="995" w:type="pct"/>
            <w:vAlign w:val="center"/>
          </w:tcPr>
          <w:p w14:paraId="6DD94C69">
            <w:pPr>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8.35</w:t>
            </w:r>
          </w:p>
        </w:tc>
        <w:tc>
          <w:tcPr>
            <w:tcW w:w="878" w:type="pct"/>
            <w:vAlign w:val="center"/>
          </w:tcPr>
          <w:p w14:paraId="69220D66">
            <w:pPr>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8.35</w:t>
            </w:r>
          </w:p>
        </w:tc>
        <w:tc>
          <w:tcPr>
            <w:tcW w:w="613" w:type="pct"/>
            <w:vAlign w:val="center"/>
          </w:tcPr>
          <w:p w14:paraId="7A0257E2">
            <w:pPr>
              <w:jc w:val="center"/>
              <w:rPr>
                <w:rFonts w:hint="eastAsia" w:ascii="仿宋" w:hAnsi="仿宋" w:eastAsia="仿宋" w:cs="仿宋"/>
                <w:sz w:val="24"/>
                <w:szCs w:val="24"/>
              </w:rPr>
            </w:pPr>
            <w:r>
              <w:rPr>
                <w:rFonts w:hint="eastAsia" w:ascii="仿宋" w:hAnsi="仿宋" w:eastAsia="仿宋" w:cs="仿宋"/>
                <w:sz w:val="24"/>
                <w:szCs w:val="24"/>
              </w:rPr>
              <w:t>100.00%</w:t>
            </w:r>
          </w:p>
        </w:tc>
      </w:tr>
    </w:tbl>
    <w:p w14:paraId="421B8A2B">
      <w:pPr>
        <w:widowControl w:val="0"/>
        <w:autoSpaceDE/>
        <w:autoSpaceDN/>
        <w:spacing w:line="560" w:lineRule="exact"/>
        <w:ind w:firstLine="651" w:firstLineChars="200"/>
        <w:textAlignment w:val="auto"/>
        <w:outlineLvl w:val="1"/>
        <w:rPr>
          <w:rFonts w:ascii="楷体" w:hAnsi="楷体" w:eastAsia="楷体" w:cs="楷体"/>
          <w:b/>
          <w:bCs/>
          <w:spacing w:val="2"/>
          <w:sz w:val="32"/>
          <w:szCs w:val="32"/>
          <w:lang w:eastAsia="zh-CN"/>
        </w:rPr>
      </w:pPr>
      <w:r>
        <w:rPr>
          <w:rFonts w:ascii="楷体" w:hAnsi="楷体" w:eastAsia="楷体" w:cs="楷体"/>
          <w:b/>
          <w:bCs/>
          <w:spacing w:val="2"/>
          <w:sz w:val="32"/>
          <w:szCs w:val="32"/>
          <w:lang w:eastAsia="zh-CN"/>
        </w:rPr>
        <w:t>（三）部门绩效目标</w:t>
      </w:r>
    </w:p>
    <w:p w14:paraId="3F7E1662">
      <w:pPr>
        <w:pStyle w:val="3"/>
        <w:widowControl w:val="0"/>
        <w:autoSpaceDE/>
        <w:autoSpaceDN/>
        <w:spacing w:line="560" w:lineRule="exact"/>
        <w:ind w:firstLine="631" w:firstLineChars="200"/>
        <w:textAlignment w:val="auto"/>
        <w:outlineLvl w:val="2"/>
        <w:rPr>
          <w:b/>
          <w:bCs/>
          <w:spacing w:val="-3"/>
          <w:sz w:val="32"/>
          <w:szCs w:val="32"/>
          <w:lang w:eastAsia="zh-CN"/>
        </w:rPr>
      </w:pPr>
      <w:r>
        <w:rPr>
          <w:rFonts w:hint="eastAsia"/>
          <w:b/>
          <w:bCs/>
          <w:spacing w:val="-3"/>
          <w:sz w:val="32"/>
          <w:szCs w:val="32"/>
          <w:lang w:eastAsia="zh-CN"/>
        </w:rPr>
        <w:t>1、中长期目标</w:t>
      </w:r>
    </w:p>
    <w:p w14:paraId="0E8243BB">
      <w:pPr>
        <w:kinsoku/>
        <w:autoSpaceDE/>
        <w:autoSpaceDN/>
        <w:adjustRightInd/>
        <w:snapToGrid/>
        <w:spacing w:line="560" w:lineRule="exact"/>
        <w:ind w:firstLine="640" w:firstLineChars="200"/>
        <w:contextualSpacing/>
        <w:jc w:val="both"/>
        <w:textAlignment w:val="auto"/>
        <w:rPr>
          <w:rFonts w:hint="default"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eastAsia="zh-CN"/>
        </w:rPr>
        <w:t>依照《省政府办公厅印发关于建设涉外法律服务高质量发展先导区实施方案的通知》、《法治南京建设规划</w:t>
      </w:r>
      <w:r>
        <w:rPr>
          <w:rFonts w:ascii="仿宋_GB2312" w:hAnsi="仿宋_GB2312" w:eastAsia="仿宋_GB2312" w:cs="仿宋_GB2312"/>
          <w:kern w:val="2"/>
          <w:sz w:val="32"/>
          <w:szCs w:val="32"/>
          <w:lang w:eastAsia="zh-CN"/>
        </w:rPr>
        <w:t>(2021-2025</w:t>
      </w:r>
      <w:r>
        <w:rPr>
          <w:rFonts w:hint="eastAsia" w:ascii="仿宋_GB2312" w:hAnsi="仿宋_GB2312" w:eastAsia="仿宋_GB2312" w:cs="仿宋_GB2312"/>
          <w:kern w:val="2"/>
          <w:sz w:val="32"/>
          <w:szCs w:val="32"/>
          <w:lang w:eastAsia="zh-CN"/>
        </w:rPr>
        <w:t>年</w:t>
      </w:r>
      <w:r>
        <w:rPr>
          <w:rFonts w:ascii="仿宋_GB2312" w:hAnsi="仿宋_GB2312" w:eastAsia="仿宋_GB2312" w:cs="仿宋_GB2312"/>
          <w:kern w:val="2"/>
          <w:sz w:val="32"/>
          <w:szCs w:val="32"/>
          <w:lang w:eastAsia="zh-CN"/>
        </w:rPr>
        <w:t>)</w:t>
      </w:r>
      <w:r>
        <w:rPr>
          <w:rFonts w:hint="eastAsia" w:ascii="仿宋_GB2312" w:hAnsi="仿宋_GB2312" w:eastAsia="仿宋_GB2312" w:cs="仿宋_GB2312"/>
          <w:kern w:val="2"/>
          <w:sz w:val="32"/>
          <w:szCs w:val="32"/>
          <w:lang w:eastAsia="zh-CN"/>
        </w:rPr>
        <w:t>》，以完善仲裁制度、提高仲裁公信力为核心，根据司法部相关要求，创建具有中国特色的国际一流仲裁机构。根据部门主要职能，保持线下受理案件数每年达到</w:t>
      </w:r>
      <w:r>
        <w:rPr>
          <w:rFonts w:hint="eastAsia" w:ascii="仿宋_GB2312" w:hAnsi="仿宋_GB2312" w:eastAsia="仿宋_GB2312" w:cs="仿宋_GB2312"/>
          <w:kern w:val="2"/>
          <w:sz w:val="32"/>
          <w:szCs w:val="32"/>
          <w:lang w:val="en-US" w:eastAsia="zh-CN"/>
        </w:rPr>
        <w:t>2000件以上，案件结案率80%以上。</w:t>
      </w:r>
    </w:p>
    <w:p w14:paraId="047CCC6B">
      <w:pPr>
        <w:pStyle w:val="3"/>
        <w:widowControl w:val="0"/>
        <w:autoSpaceDE/>
        <w:autoSpaceDN/>
        <w:spacing w:line="560" w:lineRule="exact"/>
        <w:ind w:firstLine="631" w:firstLineChars="200"/>
        <w:textAlignment w:val="auto"/>
        <w:outlineLvl w:val="2"/>
        <w:rPr>
          <w:rFonts w:hint="eastAsia"/>
          <w:b/>
          <w:bCs/>
          <w:spacing w:val="-3"/>
          <w:sz w:val="32"/>
          <w:szCs w:val="32"/>
          <w:lang w:eastAsia="zh-CN"/>
        </w:rPr>
      </w:pPr>
      <w:r>
        <w:rPr>
          <w:rFonts w:hint="eastAsia"/>
          <w:b/>
          <w:bCs/>
          <w:spacing w:val="-3"/>
          <w:sz w:val="32"/>
          <w:szCs w:val="32"/>
          <w:lang w:eastAsia="zh-CN"/>
        </w:rPr>
        <w:t>2、202</w:t>
      </w:r>
      <w:r>
        <w:rPr>
          <w:rFonts w:hint="eastAsia"/>
          <w:b/>
          <w:bCs/>
          <w:spacing w:val="-3"/>
          <w:sz w:val="32"/>
          <w:szCs w:val="32"/>
          <w:lang w:val="en-US" w:eastAsia="zh-CN"/>
        </w:rPr>
        <w:t>5</w:t>
      </w:r>
      <w:r>
        <w:rPr>
          <w:rFonts w:hint="eastAsia"/>
          <w:b/>
          <w:bCs/>
          <w:spacing w:val="-3"/>
          <w:sz w:val="32"/>
          <w:szCs w:val="32"/>
          <w:lang w:eastAsia="zh-CN"/>
        </w:rPr>
        <w:t>年度目标</w:t>
      </w:r>
    </w:p>
    <w:p w14:paraId="1B22878B">
      <w:pPr>
        <w:pStyle w:val="4"/>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kern w:val="2"/>
          <w:sz w:val="32"/>
          <w:szCs w:val="32"/>
          <w:lang w:eastAsia="zh-CN"/>
        </w:rPr>
        <w:t>根据南京仲裁委员会办公室部门职责、《202</w:t>
      </w:r>
      <w:r>
        <w:rPr>
          <w:rFonts w:hint="eastAsia" w:ascii="仿宋_GB2312" w:hAnsi="仿宋_GB2312" w:eastAsia="仿宋_GB2312" w:cs="仿宋_GB2312"/>
          <w:kern w:val="2"/>
          <w:sz w:val="32"/>
          <w:szCs w:val="32"/>
          <w:lang w:val="en-US" w:eastAsia="zh-CN"/>
        </w:rPr>
        <w:t>5</w:t>
      </w:r>
      <w:r>
        <w:rPr>
          <w:rFonts w:hint="eastAsia" w:ascii="仿宋_GB2312" w:hAnsi="仿宋_GB2312" w:eastAsia="仿宋_GB2312" w:cs="仿宋_GB2312"/>
          <w:kern w:val="2"/>
          <w:sz w:val="32"/>
          <w:szCs w:val="32"/>
          <w:lang w:eastAsia="zh-CN"/>
        </w:rPr>
        <w:t>年南京仲裁办工作目标任务》，</w:t>
      </w:r>
      <w:r>
        <w:rPr>
          <w:rFonts w:hint="eastAsia" w:ascii="仿宋_GB2312" w:hAnsi="仿宋_GB2312" w:eastAsia="仿宋_GB2312" w:cs="仿宋_GB2312"/>
          <w:sz w:val="32"/>
          <w:szCs w:val="32"/>
          <w:lang w:val="en-US" w:eastAsia="zh-CN"/>
        </w:rPr>
        <w:t>2025年南京仲裁委员会办公室的年度目标主要聚焦在受理仲裁案件、宣传拓展、仲裁案件结案等方面。详见表4。</w:t>
      </w:r>
    </w:p>
    <w:p w14:paraId="29915A13">
      <w:pPr>
        <w:widowControl w:val="0"/>
        <w:kinsoku/>
        <w:autoSpaceDE/>
        <w:autoSpaceDN/>
        <w:adjustRightInd/>
        <w:snapToGrid/>
        <w:spacing w:line="560" w:lineRule="exact"/>
        <w:contextualSpacing/>
        <w:jc w:val="center"/>
        <w:textAlignment w:val="auto"/>
        <w:rPr>
          <w:rFonts w:hint="eastAsia" w:ascii="仿宋_GB2312" w:hAnsi="仿宋_GB2312" w:eastAsia="仿宋_GB2312" w:cs="仿宋_GB2312"/>
          <w:snapToGrid/>
          <w:kern w:val="2"/>
          <w:sz w:val="28"/>
          <w:szCs w:val="28"/>
          <w:lang w:eastAsia="zh-CN"/>
        </w:rPr>
      </w:pPr>
      <w:r>
        <w:rPr>
          <w:rFonts w:hint="eastAsia" w:ascii="仿宋_GB2312" w:hAnsi="仿宋_GB2312" w:eastAsia="仿宋_GB2312" w:cs="仿宋_GB2312"/>
          <w:snapToGrid/>
          <w:kern w:val="2"/>
          <w:sz w:val="28"/>
          <w:szCs w:val="28"/>
          <w:lang w:eastAsia="zh-CN"/>
        </w:rPr>
        <w:t>表</w:t>
      </w:r>
      <w:r>
        <w:rPr>
          <w:rFonts w:hint="eastAsia" w:ascii="仿宋_GB2312" w:hAnsi="仿宋_GB2312" w:eastAsia="仿宋_GB2312" w:cs="仿宋_GB2312"/>
          <w:snapToGrid/>
          <w:kern w:val="2"/>
          <w:sz w:val="28"/>
          <w:szCs w:val="28"/>
          <w:lang w:val="en-US" w:eastAsia="zh-CN"/>
        </w:rPr>
        <w:t>4：</w:t>
      </w:r>
      <w:r>
        <w:rPr>
          <w:rFonts w:hint="eastAsia" w:ascii="仿宋_GB2312" w:hAnsi="仿宋_GB2312" w:eastAsia="仿宋_GB2312" w:cs="仿宋_GB2312"/>
          <w:snapToGrid/>
          <w:kern w:val="2"/>
          <w:sz w:val="28"/>
          <w:szCs w:val="28"/>
          <w:lang w:eastAsia="zh-CN"/>
        </w:rPr>
        <w:t>202</w:t>
      </w:r>
      <w:r>
        <w:rPr>
          <w:rFonts w:hint="eastAsia" w:ascii="仿宋_GB2312" w:hAnsi="仿宋_GB2312" w:eastAsia="仿宋_GB2312" w:cs="仿宋_GB2312"/>
          <w:snapToGrid/>
          <w:kern w:val="2"/>
          <w:sz w:val="28"/>
          <w:szCs w:val="28"/>
          <w:lang w:val="en-US" w:eastAsia="zh-CN"/>
        </w:rPr>
        <w:t>5</w:t>
      </w:r>
      <w:r>
        <w:rPr>
          <w:rFonts w:hint="eastAsia" w:ascii="仿宋_GB2312" w:hAnsi="仿宋_GB2312" w:eastAsia="仿宋_GB2312" w:cs="仿宋_GB2312"/>
          <w:snapToGrid/>
          <w:kern w:val="2"/>
          <w:sz w:val="28"/>
          <w:szCs w:val="28"/>
          <w:lang w:eastAsia="zh-CN"/>
        </w:rPr>
        <w:t>年南京仲裁委员会办公室年度目标</w:t>
      </w:r>
    </w:p>
    <w:tbl>
      <w:tblPr>
        <w:tblStyle w:val="7"/>
        <w:tblW w:w="74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
        <w:gridCol w:w="2521"/>
        <w:gridCol w:w="3999"/>
      </w:tblGrid>
      <w:tr w14:paraId="71C56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906" w:type="dxa"/>
            <w:noWrap w:val="0"/>
            <w:vAlign w:val="center"/>
          </w:tcPr>
          <w:p w14:paraId="1776892A">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序号</w:t>
            </w:r>
          </w:p>
        </w:tc>
        <w:tc>
          <w:tcPr>
            <w:tcW w:w="2521" w:type="dxa"/>
            <w:noWrap w:val="0"/>
            <w:vAlign w:val="center"/>
          </w:tcPr>
          <w:p w14:paraId="11B6CB9E">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绩效目标</w:t>
            </w:r>
          </w:p>
        </w:tc>
        <w:tc>
          <w:tcPr>
            <w:tcW w:w="3999" w:type="dxa"/>
            <w:noWrap w:val="0"/>
            <w:vAlign w:val="center"/>
          </w:tcPr>
          <w:p w14:paraId="02302428">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目标具体内容</w:t>
            </w:r>
          </w:p>
        </w:tc>
      </w:tr>
      <w:tr w14:paraId="55EB7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7" w:hRule="atLeast"/>
          <w:jc w:val="center"/>
        </w:trPr>
        <w:tc>
          <w:tcPr>
            <w:tcW w:w="906" w:type="dxa"/>
            <w:noWrap w:val="0"/>
            <w:vAlign w:val="center"/>
          </w:tcPr>
          <w:p w14:paraId="5EA0D524">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1</w:t>
            </w:r>
          </w:p>
        </w:tc>
        <w:tc>
          <w:tcPr>
            <w:tcW w:w="2521" w:type="dxa"/>
            <w:noWrap w:val="0"/>
            <w:vAlign w:val="center"/>
          </w:tcPr>
          <w:p w14:paraId="2DA71E9F">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受理仲裁案件数</w:t>
            </w:r>
          </w:p>
        </w:tc>
        <w:tc>
          <w:tcPr>
            <w:tcW w:w="3999" w:type="dxa"/>
            <w:noWrap w:val="0"/>
            <w:vAlign w:val="center"/>
          </w:tcPr>
          <w:p w14:paraId="603C8BBB">
            <w:pPr>
              <w:jc w:val="center"/>
              <w:rPr>
                <w:rFonts w:hint="default" w:ascii="仿宋" w:hAnsi="仿宋" w:eastAsia="仿宋" w:cs="仿宋"/>
                <w:sz w:val="24"/>
                <w:szCs w:val="24"/>
                <w:lang w:val="en-US" w:eastAsia="zh-CN"/>
              </w:rPr>
            </w:pPr>
            <w:r>
              <w:rPr>
                <w:rFonts w:hint="eastAsia" w:ascii="仿宋" w:hAnsi="仿宋" w:eastAsia="仿宋" w:cs="仿宋"/>
                <w:sz w:val="24"/>
                <w:szCs w:val="24"/>
                <w:lang w:eastAsia="zh-CN"/>
              </w:rPr>
              <w:t>线下受理案件数</w:t>
            </w:r>
            <w:r>
              <w:rPr>
                <w:rFonts w:hint="eastAsia" w:ascii="仿宋" w:hAnsi="仿宋" w:eastAsia="仿宋" w:cs="仿宋"/>
                <w:sz w:val="24"/>
                <w:szCs w:val="24"/>
                <w:lang w:val="en-US" w:eastAsia="zh-CN"/>
              </w:rPr>
              <w:t>2000件以上</w:t>
            </w:r>
          </w:p>
        </w:tc>
      </w:tr>
      <w:tr w14:paraId="53185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6" w:hRule="atLeast"/>
          <w:jc w:val="center"/>
        </w:trPr>
        <w:tc>
          <w:tcPr>
            <w:tcW w:w="906" w:type="dxa"/>
            <w:noWrap w:val="0"/>
            <w:vAlign w:val="center"/>
          </w:tcPr>
          <w:p w14:paraId="3AB833D5">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2</w:t>
            </w:r>
          </w:p>
        </w:tc>
        <w:tc>
          <w:tcPr>
            <w:tcW w:w="2521" w:type="dxa"/>
            <w:noWrap w:val="0"/>
            <w:vAlign w:val="center"/>
          </w:tcPr>
          <w:p w14:paraId="66FEA514">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受理案件争议金额</w:t>
            </w:r>
          </w:p>
        </w:tc>
        <w:tc>
          <w:tcPr>
            <w:tcW w:w="3999" w:type="dxa"/>
            <w:noWrap w:val="0"/>
            <w:vAlign w:val="center"/>
          </w:tcPr>
          <w:p w14:paraId="4C08656E">
            <w:pPr>
              <w:jc w:val="center"/>
              <w:rPr>
                <w:rFonts w:hint="default" w:ascii="仿宋" w:hAnsi="仿宋" w:eastAsia="仿宋" w:cs="仿宋"/>
                <w:sz w:val="24"/>
                <w:szCs w:val="24"/>
                <w:lang w:val="en-US" w:eastAsia="zh-CN"/>
              </w:rPr>
            </w:pPr>
            <w:r>
              <w:rPr>
                <w:rFonts w:hint="eastAsia" w:ascii="仿宋" w:hAnsi="仿宋" w:eastAsia="仿宋" w:cs="仿宋"/>
                <w:sz w:val="24"/>
                <w:szCs w:val="24"/>
                <w:lang w:eastAsia="zh-CN"/>
              </w:rPr>
              <w:t>线下受理案件争议金额</w:t>
            </w:r>
            <w:r>
              <w:rPr>
                <w:rFonts w:hint="eastAsia" w:ascii="仿宋" w:hAnsi="仿宋" w:eastAsia="仿宋" w:cs="仿宋"/>
                <w:sz w:val="24"/>
                <w:szCs w:val="24"/>
                <w:lang w:val="en-US" w:eastAsia="zh-CN"/>
              </w:rPr>
              <w:t>40亿以上</w:t>
            </w:r>
          </w:p>
        </w:tc>
      </w:tr>
      <w:tr w14:paraId="339AB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6" w:hRule="atLeast"/>
          <w:jc w:val="center"/>
        </w:trPr>
        <w:tc>
          <w:tcPr>
            <w:tcW w:w="906" w:type="dxa"/>
            <w:noWrap w:val="0"/>
            <w:vAlign w:val="center"/>
          </w:tcPr>
          <w:p w14:paraId="21134DCA">
            <w:pPr>
              <w:jc w:val="center"/>
              <w:rPr>
                <w:rFonts w:hint="eastAsia" w:ascii="仿宋" w:hAnsi="仿宋" w:eastAsia="仿宋" w:cs="仿宋"/>
                <w:sz w:val="24"/>
                <w:szCs w:val="24"/>
                <w:lang w:eastAsia="zh-CN"/>
              </w:rPr>
            </w:pPr>
            <w:r>
              <w:rPr>
                <w:rFonts w:hint="eastAsia" w:ascii="仿宋" w:hAnsi="仿宋" w:eastAsia="仿宋" w:cs="仿宋"/>
                <w:sz w:val="24"/>
                <w:szCs w:val="24"/>
                <w:lang w:val="en-US" w:eastAsia="zh-CN"/>
              </w:rPr>
              <w:t>3</w:t>
            </w:r>
          </w:p>
        </w:tc>
        <w:tc>
          <w:tcPr>
            <w:tcW w:w="2521" w:type="dxa"/>
            <w:noWrap w:val="0"/>
            <w:vAlign w:val="center"/>
          </w:tcPr>
          <w:p w14:paraId="044D54AE">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仲裁案件结案</w:t>
            </w:r>
          </w:p>
        </w:tc>
        <w:tc>
          <w:tcPr>
            <w:tcW w:w="3999" w:type="dxa"/>
            <w:noWrap w:val="0"/>
            <w:vAlign w:val="center"/>
          </w:tcPr>
          <w:p w14:paraId="27235C74">
            <w:pPr>
              <w:jc w:val="center"/>
              <w:rPr>
                <w:rFonts w:hint="default" w:ascii="仿宋" w:hAnsi="仿宋" w:eastAsia="仿宋" w:cs="仿宋"/>
                <w:sz w:val="24"/>
                <w:szCs w:val="24"/>
                <w:lang w:val="en-US" w:eastAsia="zh-CN"/>
              </w:rPr>
            </w:pPr>
            <w:r>
              <w:rPr>
                <w:rFonts w:hint="eastAsia" w:ascii="仿宋" w:hAnsi="仿宋" w:eastAsia="仿宋" w:cs="仿宋"/>
                <w:sz w:val="24"/>
                <w:szCs w:val="24"/>
                <w:lang w:eastAsia="zh-CN"/>
              </w:rPr>
              <w:t>线下仲裁案件结案率</w:t>
            </w:r>
            <w:r>
              <w:rPr>
                <w:rFonts w:hint="eastAsia" w:ascii="仿宋" w:hAnsi="仿宋" w:eastAsia="仿宋" w:cs="仿宋"/>
                <w:sz w:val="24"/>
                <w:szCs w:val="24"/>
                <w:lang w:val="en-US" w:eastAsia="zh-CN"/>
              </w:rPr>
              <w:t>80%以上</w:t>
            </w:r>
          </w:p>
        </w:tc>
      </w:tr>
      <w:tr w14:paraId="24327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6" w:hRule="atLeast"/>
          <w:jc w:val="center"/>
        </w:trPr>
        <w:tc>
          <w:tcPr>
            <w:tcW w:w="906" w:type="dxa"/>
            <w:noWrap w:val="0"/>
            <w:vAlign w:val="center"/>
          </w:tcPr>
          <w:p w14:paraId="24F64F48">
            <w:pPr>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4</w:t>
            </w:r>
          </w:p>
        </w:tc>
        <w:tc>
          <w:tcPr>
            <w:tcW w:w="2521" w:type="dxa"/>
            <w:noWrap w:val="0"/>
            <w:vAlign w:val="center"/>
          </w:tcPr>
          <w:p w14:paraId="632EE062">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宣传拓展</w:t>
            </w:r>
          </w:p>
        </w:tc>
        <w:tc>
          <w:tcPr>
            <w:tcW w:w="3999" w:type="dxa"/>
            <w:noWrap w:val="0"/>
            <w:vAlign w:val="center"/>
          </w:tcPr>
          <w:p w14:paraId="3E8E85DD">
            <w:pPr>
              <w:jc w:val="center"/>
              <w:rPr>
                <w:rFonts w:hint="default" w:ascii="仿宋" w:hAnsi="仿宋" w:eastAsia="仿宋" w:cs="仿宋"/>
                <w:sz w:val="24"/>
                <w:szCs w:val="24"/>
                <w:lang w:val="en-US" w:eastAsia="zh-CN"/>
              </w:rPr>
            </w:pPr>
            <w:r>
              <w:rPr>
                <w:rFonts w:hint="eastAsia" w:ascii="仿宋" w:hAnsi="仿宋" w:eastAsia="仿宋" w:cs="仿宋"/>
                <w:sz w:val="24"/>
                <w:szCs w:val="24"/>
                <w:lang w:eastAsia="zh-CN"/>
              </w:rPr>
              <w:t>年度累计走访企业、律所</w:t>
            </w:r>
            <w:r>
              <w:rPr>
                <w:rFonts w:hint="eastAsia" w:ascii="仿宋" w:hAnsi="仿宋" w:eastAsia="仿宋" w:cs="仿宋"/>
                <w:sz w:val="24"/>
                <w:szCs w:val="24"/>
                <w:lang w:val="en-US" w:eastAsia="zh-CN"/>
              </w:rPr>
              <w:t>40家以上</w:t>
            </w:r>
          </w:p>
        </w:tc>
      </w:tr>
    </w:tbl>
    <w:p w14:paraId="06E75F2C">
      <w:pPr>
        <w:widowControl w:val="0"/>
        <w:autoSpaceDE/>
        <w:autoSpaceDN/>
        <w:spacing w:line="560" w:lineRule="exact"/>
        <w:ind w:firstLine="651" w:firstLineChars="200"/>
        <w:textAlignment w:val="auto"/>
        <w:outlineLvl w:val="0"/>
        <w:rPr>
          <w:rFonts w:ascii="黑体" w:hAnsi="黑体" w:eastAsia="黑体" w:cs="黑体"/>
          <w:b/>
          <w:bCs/>
          <w:spacing w:val="2"/>
          <w:sz w:val="32"/>
          <w:szCs w:val="32"/>
          <w:lang w:eastAsia="zh-CN"/>
        </w:rPr>
      </w:pPr>
      <w:r>
        <w:rPr>
          <w:rFonts w:ascii="黑体" w:hAnsi="黑体" w:eastAsia="黑体" w:cs="黑体"/>
          <w:b/>
          <w:bCs/>
          <w:spacing w:val="2"/>
          <w:sz w:val="32"/>
          <w:szCs w:val="32"/>
          <w:lang w:eastAsia="zh-CN"/>
        </w:rPr>
        <w:t>二、评价</w:t>
      </w:r>
      <w:r>
        <w:rPr>
          <w:rFonts w:hint="eastAsia" w:ascii="黑体" w:hAnsi="黑体" w:eastAsia="黑体" w:cs="黑体"/>
          <w:b/>
          <w:bCs/>
          <w:spacing w:val="2"/>
          <w:sz w:val="32"/>
          <w:szCs w:val="32"/>
          <w:lang w:eastAsia="zh-CN"/>
        </w:rPr>
        <w:t>结论</w:t>
      </w:r>
    </w:p>
    <w:p w14:paraId="308B1470">
      <w:pPr>
        <w:widowControl w:val="0"/>
        <w:autoSpaceDE/>
        <w:autoSpaceDN/>
        <w:spacing w:line="560" w:lineRule="exact"/>
        <w:ind w:firstLine="651" w:firstLineChars="200"/>
        <w:textAlignment w:val="auto"/>
        <w:outlineLvl w:val="1"/>
        <w:rPr>
          <w:rFonts w:ascii="楷体" w:hAnsi="楷体" w:eastAsia="楷体" w:cs="楷体"/>
          <w:b/>
          <w:bCs/>
          <w:spacing w:val="2"/>
          <w:sz w:val="32"/>
          <w:szCs w:val="32"/>
          <w:lang w:eastAsia="zh-CN"/>
        </w:rPr>
      </w:pPr>
      <w:r>
        <w:rPr>
          <w:rFonts w:ascii="楷体" w:hAnsi="楷体" w:eastAsia="楷体" w:cs="楷体"/>
          <w:b/>
          <w:bCs/>
          <w:spacing w:val="2"/>
          <w:sz w:val="32"/>
          <w:szCs w:val="32"/>
          <w:lang w:eastAsia="zh-CN"/>
        </w:rPr>
        <w:t>(一)评价对象</w:t>
      </w:r>
      <w:r>
        <w:rPr>
          <w:rFonts w:hint="eastAsia" w:ascii="楷体" w:hAnsi="楷体" w:eastAsia="楷体" w:cs="楷体"/>
          <w:b/>
          <w:bCs/>
          <w:spacing w:val="2"/>
          <w:sz w:val="32"/>
          <w:szCs w:val="32"/>
          <w:lang w:eastAsia="zh-CN"/>
        </w:rPr>
        <w:t>与</w:t>
      </w:r>
      <w:r>
        <w:rPr>
          <w:rFonts w:ascii="楷体" w:hAnsi="楷体" w:eastAsia="楷体" w:cs="楷体"/>
          <w:b/>
          <w:bCs/>
          <w:spacing w:val="2"/>
          <w:sz w:val="32"/>
          <w:szCs w:val="32"/>
          <w:lang w:eastAsia="zh-CN"/>
        </w:rPr>
        <w:t>范围</w:t>
      </w:r>
    </w:p>
    <w:p w14:paraId="1969C466">
      <w:pPr>
        <w:kinsoku/>
        <w:autoSpaceDE/>
        <w:autoSpaceDN/>
        <w:adjustRightInd/>
        <w:snapToGrid/>
        <w:spacing w:line="560" w:lineRule="exact"/>
        <w:ind w:firstLine="640" w:firstLineChars="200"/>
        <w:contextualSpacing/>
        <w:jc w:val="both"/>
        <w:textAlignment w:val="auto"/>
        <w:rPr>
          <w:rFonts w:ascii="仿宋_GB2312" w:hAnsi="仿宋_GB2312" w:eastAsia="仿宋_GB2312" w:cs="仿宋_GB2312"/>
          <w:kern w:val="2"/>
          <w:sz w:val="32"/>
          <w:szCs w:val="32"/>
          <w:lang w:eastAsia="zh-CN"/>
        </w:rPr>
      </w:pPr>
      <w:r>
        <w:rPr>
          <w:rFonts w:hint="eastAsia" w:ascii="仿宋_GB2312" w:hAnsi="仿宋_GB2312" w:eastAsia="仿宋_GB2312" w:cs="仿宋_GB2312"/>
          <w:kern w:val="2"/>
          <w:sz w:val="32"/>
          <w:szCs w:val="32"/>
          <w:lang w:eastAsia="zh-CN"/>
        </w:rPr>
        <w:t>本次绩效评价的对象为2025年度南京仲裁委员会办公室整体资金</w:t>
      </w:r>
      <w:r>
        <w:rPr>
          <w:rFonts w:hint="eastAsia" w:ascii="仿宋_GB2312" w:hAnsi="仿宋_GB2312" w:eastAsia="仿宋_GB2312" w:cs="仿宋_GB2312"/>
          <w:kern w:val="2"/>
          <w:sz w:val="32"/>
          <w:szCs w:val="32"/>
          <w:lang w:val="en-US" w:eastAsia="zh-CN"/>
        </w:rPr>
        <w:t>2465.68</w:t>
      </w:r>
      <w:r>
        <w:rPr>
          <w:rFonts w:hint="eastAsia" w:ascii="仿宋_GB2312" w:hAnsi="仿宋_GB2312" w:eastAsia="仿宋_GB2312" w:cs="仿宋_GB2312"/>
          <w:kern w:val="2"/>
          <w:sz w:val="32"/>
          <w:szCs w:val="32"/>
          <w:lang w:eastAsia="zh-CN"/>
        </w:rPr>
        <w:t>万元，包括部门预算和部门管理使用的专项预算资金。评价时间段为202</w:t>
      </w:r>
      <w:r>
        <w:rPr>
          <w:rFonts w:hint="eastAsia" w:ascii="仿宋_GB2312" w:hAnsi="仿宋_GB2312" w:eastAsia="仿宋_GB2312" w:cs="仿宋_GB2312"/>
          <w:kern w:val="2"/>
          <w:sz w:val="32"/>
          <w:szCs w:val="32"/>
          <w:lang w:val="en-US" w:eastAsia="zh-CN"/>
        </w:rPr>
        <w:t>5</w:t>
      </w:r>
      <w:r>
        <w:rPr>
          <w:rFonts w:hint="eastAsia" w:ascii="仿宋_GB2312" w:hAnsi="仿宋_GB2312" w:eastAsia="仿宋_GB2312" w:cs="仿宋_GB2312"/>
          <w:kern w:val="2"/>
          <w:sz w:val="32"/>
          <w:szCs w:val="32"/>
          <w:lang w:eastAsia="zh-CN"/>
        </w:rPr>
        <w:t>年1月1日至202</w:t>
      </w:r>
      <w:r>
        <w:rPr>
          <w:rFonts w:hint="eastAsia" w:ascii="仿宋_GB2312" w:hAnsi="仿宋_GB2312" w:eastAsia="仿宋_GB2312" w:cs="仿宋_GB2312"/>
          <w:kern w:val="2"/>
          <w:sz w:val="32"/>
          <w:szCs w:val="32"/>
          <w:lang w:val="en-US" w:eastAsia="zh-CN"/>
        </w:rPr>
        <w:t>5</w:t>
      </w:r>
      <w:r>
        <w:rPr>
          <w:rFonts w:hint="eastAsia" w:ascii="仿宋_GB2312" w:hAnsi="仿宋_GB2312" w:eastAsia="仿宋_GB2312" w:cs="仿宋_GB2312"/>
          <w:kern w:val="2"/>
          <w:sz w:val="32"/>
          <w:szCs w:val="32"/>
          <w:lang w:eastAsia="zh-CN"/>
        </w:rPr>
        <w:t>年12月31日。</w:t>
      </w:r>
    </w:p>
    <w:p w14:paraId="34D31BA4">
      <w:pPr>
        <w:widowControl w:val="0"/>
        <w:autoSpaceDE/>
        <w:autoSpaceDN/>
        <w:spacing w:line="560" w:lineRule="exact"/>
        <w:ind w:firstLine="651" w:firstLineChars="200"/>
        <w:textAlignment w:val="auto"/>
        <w:outlineLvl w:val="1"/>
        <w:rPr>
          <w:rFonts w:ascii="楷体" w:hAnsi="楷体" w:eastAsia="楷体" w:cs="楷体"/>
          <w:b/>
          <w:bCs/>
          <w:spacing w:val="2"/>
          <w:sz w:val="32"/>
          <w:szCs w:val="32"/>
          <w:lang w:eastAsia="zh-CN"/>
        </w:rPr>
      </w:pPr>
      <w:r>
        <w:rPr>
          <w:rFonts w:ascii="楷体" w:hAnsi="楷体" w:eastAsia="楷体" w:cs="楷体"/>
          <w:b/>
          <w:bCs/>
          <w:spacing w:val="2"/>
          <w:sz w:val="32"/>
          <w:szCs w:val="32"/>
          <w:lang w:eastAsia="zh-CN"/>
        </w:rPr>
        <w:t>(二)评价结论</w:t>
      </w:r>
    </w:p>
    <w:p w14:paraId="08F9A7AE">
      <w:pPr>
        <w:kinsoku/>
        <w:autoSpaceDE/>
        <w:autoSpaceDN/>
        <w:adjustRightInd/>
        <w:snapToGrid/>
        <w:spacing w:line="560" w:lineRule="exact"/>
        <w:ind w:firstLine="640" w:firstLineChars="200"/>
        <w:contextualSpacing/>
        <w:jc w:val="both"/>
        <w:textAlignment w:val="auto"/>
        <w:rPr>
          <w:rFonts w:hint="eastAsia" w:ascii="仿宋_GB2312" w:hAnsi="仿宋_GB2312" w:eastAsia="仿宋_GB2312" w:cs="仿宋_GB2312"/>
          <w:kern w:val="2"/>
          <w:sz w:val="32"/>
          <w:szCs w:val="32"/>
          <w:highlight w:val="none"/>
          <w:lang w:eastAsia="zh-CN"/>
        </w:rPr>
      </w:pPr>
      <w:r>
        <w:rPr>
          <w:rFonts w:hint="eastAsia" w:ascii="仿宋_GB2312" w:hAnsi="仿宋_GB2312" w:eastAsia="仿宋_GB2312" w:cs="仿宋_GB2312"/>
          <w:kern w:val="2"/>
          <w:sz w:val="32"/>
          <w:szCs w:val="32"/>
          <w:highlight w:val="none"/>
          <w:lang w:eastAsia="zh-CN"/>
        </w:rPr>
        <w:t>经综合评价，202</w:t>
      </w:r>
      <w:r>
        <w:rPr>
          <w:rFonts w:hint="eastAsia" w:ascii="仿宋_GB2312" w:hAnsi="仿宋_GB2312" w:eastAsia="仿宋_GB2312" w:cs="仿宋_GB2312"/>
          <w:kern w:val="2"/>
          <w:sz w:val="32"/>
          <w:szCs w:val="32"/>
          <w:highlight w:val="none"/>
          <w:lang w:val="en-US" w:eastAsia="zh-CN"/>
        </w:rPr>
        <w:t>5</w:t>
      </w:r>
      <w:r>
        <w:rPr>
          <w:rFonts w:hint="eastAsia" w:ascii="仿宋_GB2312" w:hAnsi="仿宋_GB2312" w:eastAsia="仿宋_GB2312" w:cs="仿宋_GB2312"/>
          <w:kern w:val="2"/>
          <w:sz w:val="32"/>
          <w:szCs w:val="32"/>
          <w:highlight w:val="none"/>
          <w:lang w:eastAsia="zh-CN"/>
        </w:rPr>
        <w:t>年度南京仲裁委员会办公室整体绩效评价得分</w:t>
      </w:r>
      <w:r>
        <w:rPr>
          <w:rFonts w:hint="eastAsia" w:ascii="仿宋_GB2312" w:hAnsi="仿宋_GB2312" w:eastAsia="仿宋_GB2312" w:cs="仿宋_GB2312"/>
          <w:kern w:val="2"/>
          <w:sz w:val="32"/>
          <w:szCs w:val="32"/>
          <w:highlight w:val="none"/>
          <w:lang w:val="en-US" w:eastAsia="zh-CN"/>
        </w:rPr>
        <w:t>97.29</w:t>
      </w:r>
      <w:r>
        <w:rPr>
          <w:rFonts w:hint="eastAsia" w:ascii="仿宋_GB2312" w:hAnsi="仿宋_GB2312" w:eastAsia="仿宋_GB2312" w:cs="仿宋_GB2312"/>
          <w:kern w:val="2"/>
          <w:sz w:val="32"/>
          <w:szCs w:val="32"/>
          <w:highlight w:val="none"/>
          <w:lang w:eastAsia="zh-CN"/>
        </w:rPr>
        <w:t>分，等级为“优”。整体而言，202</w:t>
      </w:r>
      <w:r>
        <w:rPr>
          <w:rFonts w:hint="eastAsia" w:ascii="仿宋_GB2312" w:hAnsi="仿宋_GB2312" w:eastAsia="仿宋_GB2312" w:cs="仿宋_GB2312"/>
          <w:kern w:val="2"/>
          <w:sz w:val="32"/>
          <w:szCs w:val="32"/>
          <w:highlight w:val="none"/>
          <w:lang w:val="en-US" w:eastAsia="zh-CN"/>
        </w:rPr>
        <w:t>5</w:t>
      </w:r>
      <w:r>
        <w:rPr>
          <w:rFonts w:hint="eastAsia" w:ascii="仿宋_GB2312" w:hAnsi="仿宋_GB2312" w:eastAsia="仿宋_GB2312" w:cs="仿宋_GB2312"/>
          <w:kern w:val="2"/>
          <w:sz w:val="32"/>
          <w:szCs w:val="32"/>
          <w:highlight w:val="none"/>
          <w:lang w:eastAsia="zh-CN"/>
        </w:rPr>
        <w:t>年度南京仲裁委员会办公室达到预期绩效目标，线下受理案件数</w:t>
      </w:r>
      <w:r>
        <w:rPr>
          <w:rFonts w:hint="eastAsia" w:ascii="仿宋_GB2312" w:hAnsi="仿宋_GB2312" w:eastAsia="仿宋_GB2312" w:cs="仿宋_GB2312"/>
          <w:kern w:val="2"/>
          <w:sz w:val="32"/>
          <w:szCs w:val="32"/>
          <w:highlight w:val="none"/>
          <w:lang w:val="en-US" w:eastAsia="zh-CN"/>
        </w:rPr>
        <w:t>2496件，</w:t>
      </w:r>
      <w:r>
        <w:rPr>
          <w:rFonts w:hint="eastAsia" w:ascii="仿宋_GB2312" w:hAnsi="仿宋_GB2312" w:eastAsia="仿宋_GB2312" w:cs="仿宋_GB2312"/>
          <w:kern w:val="2"/>
          <w:sz w:val="32"/>
          <w:szCs w:val="32"/>
          <w:highlight w:val="none"/>
          <w:lang w:eastAsia="zh-CN"/>
        </w:rPr>
        <w:t>线下受理案件争议金额</w:t>
      </w:r>
      <w:r>
        <w:rPr>
          <w:rFonts w:hint="eastAsia" w:ascii="仿宋_GB2312" w:hAnsi="仿宋_GB2312" w:eastAsia="仿宋_GB2312" w:cs="仿宋_GB2312"/>
          <w:kern w:val="2"/>
          <w:sz w:val="32"/>
          <w:szCs w:val="32"/>
          <w:highlight w:val="none"/>
          <w:lang w:val="en-US" w:eastAsia="zh-CN"/>
        </w:rPr>
        <w:t>103.55亿，</w:t>
      </w:r>
      <w:r>
        <w:rPr>
          <w:rFonts w:hint="eastAsia" w:ascii="仿宋_GB2312" w:hAnsi="仿宋_GB2312" w:eastAsia="仿宋_GB2312" w:cs="仿宋_GB2312"/>
          <w:kern w:val="2"/>
          <w:sz w:val="32"/>
          <w:szCs w:val="32"/>
          <w:highlight w:val="none"/>
          <w:lang w:eastAsia="zh-CN"/>
        </w:rPr>
        <w:t>线下仲裁案件结案率</w:t>
      </w:r>
      <w:r>
        <w:rPr>
          <w:rFonts w:hint="eastAsia" w:ascii="仿宋_GB2312" w:hAnsi="仿宋_GB2312" w:eastAsia="仿宋_GB2312" w:cs="仿宋_GB2312"/>
          <w:kern w:val="2"/>
          <w:sz w:val="32"/>
          <w:szCs w:val="32"/>
          <w:highlight w:val="none"/>
          <w:lang w:val="en-US" w:eastAsia="zh-CN"/>
        </w:rPr>
        <w:t>84%，</w:t>
      </w:r>
      <w:r>
        <w:rPr>
          <w:rFonts w:hint="eastAsia" w:ascii="仿宋_GB2312" w:hAnsi="仿宋_GB2312" w:eastAsia="仿宋_GB2312" w:cs="仿宋_GB2312"/>
          <w:kern w:val="2"/>
          <w:sz w:val="32"/>
          <w:szCs w:val="32"/>
          <w:highlight w:val="none"/>
          <w:lang w:eastAsia="zh-CN"/>
        </w:rPr>
        <w:t>年度累计走访企业、律所</w:t>
      </w:r>
      <w:r>
        <w:rPr>
          <w:rFonts w:hint="eastAsia" w:ascii="仿宋_GB2312" w:hAnsi="仿宋_GB2312" w:eastAsia="仿宋_GB2312" w:cs="仿宋_GB2312"/>
          <w:kern w:val="2"/>
          <w:sz w:val="32"/>
          <w:szCs w:val="32"/>
          <w:highlight w:val="none"/>
          <w:lang w:val="en-US" w:eastAsia="zh-CN"/>
        </w:rPr>
        <w:t>50家。</w:t>
      </w:r>
      <w:r>
        <w:rPr>
          <w:rFonts w:hint="eastAsia" w:ascii="仿宋_GB2312" w:hAnsi="仿宋_GB2312" w:eastAsia="仿宋_GB2312" w:cs="仿宋_GB2312"/>
          <w:kern w:val="2"/>
          <w:sz w:val="32"/>
          <w:szCs w:val="32"/>
          <w:highlight w:val="none"/>
          <w:lang w:eastAsia="zh-CN"/>
        </w:rPr>
        <w:t>但也存在服务对象满意度不高的问题，建议提高案件办理质效，改善服务对象满意度。</w:t>
      </w:r>
    </w:p>
    <w:p w14:paraId="276E8F3E">
      <w:pPr>
        <w:widowControl w:val="0"/>
        <w:autoSpaceDE/>
        <w:autoSpaceDN/>
        <w:spacing w:line="560" w:lineRule="exact"/>
        <w:ind w:firstLine="651" w:firstLineChars="200"/>
        <w:textAlignment w:val="auto"/>
        <w:outlineLvl w:val="0"/>
        <w:rPr>
          <w:rFonts w:ascii="黑体" w:hAnsi="黑体" w:eastAsia="黑体" w:cs="黑体"/>
          <w:b/>
          <w:bCs/>
          <w:spacing w:val="2"/>
          <w:sz w:val="32"/>
          <w:szCs w:val="32"/>
          <w:lang w:eastAsia="zh-CN"/>
        </w:rPr>
      </w:pPr>
      <w:r>
        <w:rPr>
          <w:rFonts w:ascii="黑体" w:hAnsi="黑体" w:eastAsia="黑体" w:cs="黑体"/>
          <w:b/>
          <w:bCs/>
          <w:spacing w:val="2"/>
          <w:sz w:val="32"/>
          <w:szCs w:val="32"/>
          <w:lang w:eastAsia="zh-CN"/>
        </w:rPr>
        <w:t>三、</w:t>
      </w:r>
      <w:r>
        <w:rPr>
          <w:rFonts w:hint="eastAsia" w:ascii="黑体" w:hAnsi="黑体" w:eastAsia="黑体" w:cs="黑体"/>
          <w:b/>
          <w:bCs/>
          <w:spacing w:val="2"/>
          <w:sz w:val="32"/>
          <w:szCs w:val="32"/>
          <w:lang w:eastAsia="zh-CN"/>
        </w:rPr>
        <w:t>部门</w:t>
      </w:r>
      <w:r>
        <w:rPr>
          <w:rFonts w:ascii="黑体" w:hAnsi="黑体" w:eastAsia="黑体" w:cs="黑体"/>
          <w:b/>
          <w:bCs/>
          <w:spacing w:val="2"/>
          <w:sz w:val="32"/>
          <w:szCs w:val="32"/>
          <w:lang w:eastAsia="zh-CN"/>
        </w:rPr>
        <w:t>履职成效</w:t>
      </w:r>
    </w:p>
    <w:p w14:paraId="71D3AE46">
      <w:pPr>
        <w:keepNext w:val="0"/>
        <w:keepLines w:val="0"/>
        <w:pageBreakBefore w:val="0"/>
        <w:widowControl w:val="0"/>
        <w:kinsoku/>
        <w:wordWrap/>
        <w:overflowPunct/>
        <w:topLinePunct w:val="0"/>
        <w:autoSpaceDE/>
        <w:autoSpaceDN/>
        <w:bidi w:val="0"/>
        <w:adjustRightInd/>
        <w:snapToGrid/>
        <w:spacing w:before="157" w:beforeLines="5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w:t>
      </w:r>
      <w:r>
        <w:rPr>
          <w:rFonts w:hint="eastAsia" w:ascii="仿宋_GB2312" w:hAnsi="仿宋_GB2312" w:eastAsia="仿宋_GB2312" w:cs="仿宋_GB2312"/>
          <w:sz w:val="32"/>
          <w:szCs w:val="32"/>
          <w:lang w:eastAsia="zh-CN"/>
        </w:rPr>
        <w:t>市委、市政府</w:t>
      </w:r>
      <w:r>
        <w:rPr>
          <w:rFonts w:hint="eastAsia" w:ascii="仿宋_GB2312" w:hAnsi="仿宋_GB2312" w:eastAsia="仿宋_GB2312" w:cs="仿宋_GB2312"/>
          <w:sz w:val="32"/>
          <w:szCs w:val="32"/>
          <w:lang w:val="en-US" w:eastAsia="zh-CN"/>
        </w:rPr>
        <w:t>坚强</w:t>
      </w:r>
      <w:r>
        <w:rPr>
          <w:rFonts w:hint="eastAsia" w:ascii="仿宋_GB2312" w:hAnsi="仿宋_GB2312" w:eastAsia="仿宋_GB2312" w:cs="仿宋_GB2312"/>
          <w:sz w:val="32"/>
          <w:szCs w:val="32"/>
        </w:rPr>
        <w:t>领导下，南京仲裁办坚持以习近平新时代中国特色社会主义思想为指导，</w:t>
      </w:r>
      <w:r>
        <w:rPr>
          <w:rFonts w:hint="eastAsia" w:ascii="仿宋_GB2312" w:hAnsi="仿宋_GB2312" w:eastAsia="仿宋_GB2312" w:cs="仿宋_GB2312"/>
          <w:sz w:val="32"/>
          <w:szCs w:val="32"/>
          <w:lang w:val="en-US" w:eastAsia="zh-CN"/>
        </w:rPr>
        <w:t>对标司法部国际一流仲裁机构培育标准，奋发进取、主动作为，大力推动南京</w:t>
      </w:r>
      <w:r>
        <w:rPr>
          <w:rFonts w:hint="eastAsia" w:ascii="仿宋_GB2312" w:hAnsi="仿宋_GB2312" w:eastAsia="仿宋_GB2312" w:cs="仿宋_GB2312"/>
          <w:sz w:val="32"/>
          <w:szCs w:val="32"/>
        </w:rPr>
        <w:t>商事仲裁国际化法治化建设</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助力</w:t>
      </w:r>
      <w:r>
        <w:rPr>
          <w:rFonts w:hint="eastAsia" w:ascii="仿宋_GB2312" w:hAnsi="仿宋_GB2312" w:eastAsia="仿宋_GB2312" w:cs="仿宋_GB2312"/>
          <w:sz w:val="32"/>
          <w:szCs w:val="32"/>
        </w:rPr>
        <w:t>江苏涉外法律服务业的发展，为江苏南京涉外法治建设贡献了仲裁的智慧和力量。</w:t>
      </w:r>
    </w:p>
    <w:p w14:paraId="4DEBBE9A">
      <w:pPr>
        <w:keepNext w:val="0"/>
        <w:keepLines w:val="0"/>
        <w:pageBreakBefore w:val="0"/>
        <w:kinsoku/>
        <w:wordWrap/>
        <w:overflowPunct/>
        <w:topLinePunct w:val="0"/>
        <w:autoSpaceDE/>
        <w:autoSpaceDN/>
        <w:bidi w:val="0"/>
        <w:adjustRightIn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Cs/>
          <w:sz w:val="32"/>
          <w:szCs w:val="32"/>
        </w:rPr>
        <w:t>202</w:t>
      </w:r>
      <w:r>
        <w:rPr>
          <w:rFonts w:hint="eastAsia" w:ascii="仿宋_GB2312" w:hAnsi="仿宋_GB2312" w:eastAsia="仿宋_GB2312" w:cs="仿宋_GB2312"/>
          <w:bCs/>
          <w:sz w:val="32"/>
          <w:szCs w:val="32"/>
          <w:lang w:val="en-US" w:eastAsia="zh-CN"/>
        </w:rPr>
        <w:t>5</w:t>
      </w:r>
      <w:r>
        <w:rPr>
          <w:rFonts w:hint="eastAsia" w:ascii="仿宋_GB2312" w:hAnsi="仿宋_GB2312" w:eastAsia="仿宋_GB2312" w:cs="仿宋_GB2312"/>
          <w:bCs/>
          <w:sz w:val="32"/>
          <w:szCs w:val="32"/>
        </w:rPr>
        <w:t>年南京仲裁</w:t>
      </w:r>
      <w:r>
        <w:rPr>
          <w:rFonts w:hint="eastAsia" w:ascii="仿宋_GB2312" w:hAnsi="仿宋_GB2312" w:eastAsia="仿宋_GB2312" w:cs="仿宋_GB2312"/>
          <w:bCs/>
          <w:sz w:val="32"/>
          <w:szCs w:val="32"/>
          <w:lang w:eastAsia="zh-CN"/>
        </w:rPr>
        <w:t>工作</w:t>
      </w:r>
      <w:r>
        <w:rPr>
          <w:rFonts w:hint="eastAsia" w:ascii="仿宋_GB2312" w:hAnsi="仿宋_GB2312" w:eastAsia="仿宋_GB2312" w:cs="仿宋_GB2312"/>
          <w:bCs/>
          <w:sz w:val="32"/>
          <w:szCs w:val="32"/>
          <w:lang w:val="en-US" w:eastAsia="zh-CN"/>
        </w:rPr>
        <w:t>取得四大核心亮点成效：</w:t>
      </w:r>
      <w:r>
        <w:rPr>
          <w:rFonts w:hint="eastAsia" w:ascii="国标黑体" w:hAnsi="国标黑体" w:eastAsia="国标黑体" w:cs="国标黑体"/>
          <w:bCs/>
          <w:sz w:val="32"/>
          <w:szCs w:val="32"/>
          <w:lang w:val="en-US" w:eastAsia="zh-CN"/>
        </w:rPr>
        <w:t>一是机构能级跃升，跻身全国前列。</w:t>
      </w:r>
      <w:r>
        <w:rPr>
          <w:rFonts w:hint="eastAsia" w:ascii="仿宋_GB2312" w:hAnsi="仿宋_GB2312" w:eastAsia="仿宋_GB2312" w:cs="仿宋_GB2312"/>
          <w:bCs/>
          <w:sz w:val="32"/>
          <w:szCs w:val="32"/>
          <w:lang w:val="en-US" w:eastAsia="zh-CN"/>
        </w:rPr>
        <w:t>入选司法部中国特色国际一流仲裁机构培育名单，成为省内唯一获此殊荣的仲裁机构，机构品牌影响力与行业地位显著提升。</w:t>
      </w:r>
      <w:r>
        <w:rPr>
          <w:rFonts w:hint="eastAsia" w:ascii="黑体" w:hAnsi="黑体" w:eastAsia="黑体" w:cs="黑体"/>
          <w:bCs/>
          <w:sz w:val="32"/>
          <w:szCs w:val="32"/>
          <w:lang w:val="en-US" w:eastAsia="zh-CN"/>
        </w:rPr>
        <w:t>二是业务质效再创佳绩，建成商事解纷优选地。</w:t>
      </w:r>
      <w:r>
        <w:rPr>
          <w:rFonts w:hint="eastAsia" w:ascii="仿宋_GB2312" w:hAnsi="仿宋_GB2312" w:eastAsia="仿宋_GB2312" w:cs="仿宋_GB2312"/>
          <w:color w:val="auto"/>
          <w:kern w:val="0"/>
          <w:sz w:val="32"/>
          <w:szCs w:val="32"/>
          <w:highlight w:val="none"/>
          <w:shd w:val="clear" w:color="auto" w:fill="FFFFFF"/>
          <w:lang w:bidi="ar"/>
        </w:rPr>
        <w:t>南京仲裁委员会共受理案件数</w:t>
      </w:r>
      <w:r>
        <w:rPr>
          <w:rFonts w:hint="eastAsia" w:ascii="仿宋_GB2312" w:hAnsi="仿宋_GB2312" w:eastAsia="仿宋_GB2312" w:cs="仿宋_GB2312"/>
          <w:color w:val="auto"/>
          <w:kern w:val="0"/>
          <w:sz w:val="32"/>
          <w:szCs w:val="32"/>
          <w:highlight w:val="none"/>
          <w:shd w:val="clear" w:color="auto" w:fill="FFFFFF"/>
          <w:lang w:val="en-US" w:eastAsia="zh-CN" w:bidi="ar"/>
        </w:rPr>
        <w:t>4741</w:t>
      </w:r>
      <w:r>
        <w:rPr>
          <w:rFonts w:hint="eastAsia" w:ascii="仿宋_GB2312" w:hAnsi="仿宋_GB2312" w:eastAsia="仿宋_GB2312" w:cs="仿宋_GB2312"/>
          <w:color w:val="auto"/>
          <w:kern w:val="0"/>
          <w:sz w:val="32"/>
          <w:szCs w:val="32"/>
          <w:highlight w:val="none"/>
          <w:shd w:val="clear" w:color="auto" w:fill="FFFFFF"/>
          <w:lang w:bidi="ar"/>
        </w:rPr>
        <w:t>件</w:t>
      </w:r>
      <w:r>
        <w:rPr>
          <w:rFonts w:hint="eastAsia" w:ascii="仿宋_GB2312" w:hAnsi="仿宋_GB2312" w:eastAsia="仿宋_GB2312" w:cs="仿宋_GB2312"/>
          <w:color w:val="auto"/>
          <w:kern w:val="0"/>
          <w:sz w:val="32"/>
          <w:szCs w:val="32"/>
          <w:highlight w:val="none"/>
          <w:shd w:val="clear" w:color="auto" w:fill="FFFFFF"/>
          <w:lang w:eastAsia="zh-CN" w:bidi="ar"/>
        </w:rPr>
        <w:t>（</w:t>
      </w:r>
      <w:r>
        <w:rPr>
          <w:rFonts w:hint="eastAsia" w:ascii="仿宋_GB2312" w:hAnsi="仿宋_GB2312" w:eastAsia="仿宋_GB2312" w:cs="仿宋_GB2312"/>
          <w:color w:val="auto"/>
          <w:kern w:val="0"/>
          <w:sz w:val="32"/>
          <w:szCs w:val="32"/>
          <w:highlight w:val="none"/>
          <w:shd w:val="clear" w:color="auto" w:fill="FFFFFF"/>
          <w:lang w:val="en-US" w:eastAsia="zh-CN" w:bidi="ar"/>
        </w:rPr>
        <w:t>其中线下案件数2496件</w:t>
      </w:r>
      <w:r>
        <w:rPr>
          <w:rFonts w:hint="eastAsia" w:ascii="仿宋_GB2312" w:hAnsi="仿宋_GB2312" w:eastAsia="仿宋_GB2312" w:cs="仿宋_GB2312"/>
          <w:color w:val="auto"/>
          <w:kern w:val="0"/>
          <w:sz w:val="32"/>
          <w:szCs w:val="32"/>
          <w:highlight w:val="none"/>
          <w:shd w:val="clear" w:color="auto" w:fill="FFFFFF"/>
          <w:lang w:eastAsia="zh-CN" w:bidi="ar"/>
        </w:rPr>
        <w:t>）</w:t>
      </w:r>
      <w:r>
        <w:rPr>
          <w:rFonts w:hint="eastAsia" w:ascii="仿宋_GB2312" w:hAnsi="仿宋_GB2312" w:eastAsia="仿宋_GB2312" w:cs="仿宋_GB2312"/>
          <w:color w:val="auto"/>
          <w:kern w:val="0"/>
          <w:sz w:val="32"/>
          <w:szCs w:val="32"/>
          <w:highlight w:val="none"/>
          <w:shd w:val="clear" w:color="auto" w:fill="FFFFFF"/>
          <w:lang w:bidi="ar"/>
        </w:rPr>
        <w:t>，争议金额</w:t>
      </w:r>
      <w:r>
        <w:rPr>
          <w:rFonts w:hint="eastAsia" w:ascii="仿宋_GB2312" w:hAnsi="仿宋_GB2312" w:eastAsia="仿宋_GB2312" w:cs="仿宋_GB2312"/>
          <w:color w:val="auto"/>
          <w:kern w:val="0"/>
          <w:sz w:val="32"/>
          <w:szCs w:val="32"/>
          <w:highlight w:val="none"/>
          <w:shd w:val="clear" w:color="auto" w:fill="FFFFFF"/>
          <w:lang w:val="en-US" w:eastAsia="zh-CN" w:bidi="ar"/>
        </w:rPr>
        <w:t>103.55</w:t>
      </w:r>
      <w:r>
        <w:rPr>
          <w:rFonts w:hint="eastAsia" w:ascii="仿宋_GB2312" w:hAnsi="仿宋_GB2312" w:eastAsia="仿宋_GB2312" w:cs="仿宋_GB2312"/>
          <w:color w:val="auto"/>
          <w:kern w:val="0"/>
          <w:sz w:val="32"/>
          <w:szCs w:val="32"/>
          <w:highlight w:val="none"/>
          <w:shd w:val="clear" w:color="auto" w:fill="FFFFFF"/>
          <w:lang w:bidi="ar"/>
        </w:rPr>
        <w:t>亿元，是江苏首家实现争议金额超百亿的仲裁机构，争议金额500万元以上案件同比增长</w:t>
      </w:r>
      <w:r>
        <w:rPr>
          <w:rFonts w:hint="eastAsia" w:ascii="仿宋_GB2312" w:hAnsi="仿宋_GB2312" w:eastAsia="仿宋_GB2312" w:cs="仿宋_GB2312"/>
          <w:color w:val="auto"/>
          <w:kern w:val="0"/>
          <w:sz w:val="32"/>
          <w:szCs w:val="32"/>
          <w:highlight w:val="none"/>
          <w:shd w:val="clear" w:color="auto" w:fill="FFFFFF"/>
          <w:lang w:val="en-US" w:eastAsia="zh-CN" w:bidi="ar"/>
        </w:rPr>
        <w:t>超3</w:t>
      </w:r>
      <w:r>
        <w:rPr>
          <w:rFonts w:hint="eastAsia" w:ascii="仿宋_GB2312" w:hAnsi="仿宋_GB2312" w:eastAsia="仿宋_GB2312" w:cs="仿宋_GB2312"/>
          <w:color w:val="auto"/>
          <w:kern w:val="0"/>
          <w:sz w:val="32"/>
          <w:szCs w:val="32"/>
          <w:highlight w:val="none"/>
          <w:shd w:val="clear" w:color="auto" w:fill="FFFFFF"/>
          <w:lang w:bidi="ar"/>
        </w:rPr>
        <w:t>0%，大标的额案件数量上升，案件结构进一步优化，商事仲裁作用得到进一步发挥。无一起仲裁裁决被法院撤销或通知重审</w:t>
      </w:r>
      <w:r>
        <w:rPr>
          <w:rFonts w:hint="eastAsia" w:ascii="仿宋_GB2312" w:hAnsi="仿宋_GB2312" w:eastAsia="仿宋_GB2312" w:cs="仿宋_GB2312"/>
          <w:color w:val="auto"/>
          <w:kern w:val="0"/>
          <w:sz w:val="32"/>
          <w:szCs w:val="32"/>
          <w:highlight w:val="none"/>
          <w:shd w:val="clear" w:color="auto" w:fill="FFFFFF"/>
          <w:lang w:eastAsia="zh-CN" w:bidi="ar"/>
        </w:rPr>
        <w:t>，</w:t>
      </w:r>
      <w:r>
        <w:rPr>
          <w:rFonts w:hint="eastAsia" w:ascii="仿宋_GB2312" w:hAnsi="仿宋_GB2312" w:eastAsia="仿宋_GB2312" w:cs="仿宋_GB2312"/>
          <w:color w:val="auto"/>
          <w:kern w:val="0"/>
          <w:sz w:val="32"/>
          <w:szCs w:val="32"/>
          <w:highlight w:val="none"/>
          <w:shd w:val="clear" w:color="auto" w:fill="FFFFFF"/>
          <w:lang w:val="en-US" w:eastAsia="zh-CN" w:bidi="ar"/>
        </w:rPr>
        <w:t>案件信访量同比下降44%，案件当事人满意度和认可度显著提升。</w:t>
      </w:r>
      <w:r>
        <w:rPr>
          <w:rFonts w:hint="eastAsia" w:ascii="国标黑体" w:hAnsi="国标黑体" w:eastAsia="国标黑体" w:cs="国标黑体"/>
          <w:bCs/>
          <w:sz w:val="32"/>
          <w:szCs w:val="32"/>
          <w:lang w:val="en-US" w:eastAsia="zh-CN"/>
        </w:rPr>
        <w:t>三是涉外服务升级，扩大了国际影响力。</w:t>
      </w:r>
      <w:r>
        <w:rPr>
          <w:rFonts w:hint="eastAsia" w:ascii="仿宋_GB2312" w:hAnsi="仿宋_GB2312" w:eastAsia="仿宋_GB2312" w:cs="仿宋_GB2312"/>
          <w:bCs/>
          <w:sz w:val="32"/>
          <w:szCs w:val="32"/>
          <w:lang w:val="en-US" w:eastAsia="zh-CN"/>
        </w:rPr>
        <w:t>处理涉外及自贸区案件179件（涉外案件数97件），案件标的额34.1亿元（涉外案件争议金额30.1亿元）。当事人涉及印度尼西亚、法国、马来西亚、美国、德国、瑞士、韩国、迪拜、丹麦、英属维尔京群岛、开曼群岛、中国香港、中国澳门等国家和地区，其中涉及“一带一路”国家6件。案件类型包括国际货物买卖合同、航运物流合同、海上货物保险赔偿合同、股权转让合同等。一方或双方在外地的当事人占比达70%，双方均在外地的当事人占比达20%以上。在中阿（联酋）产能合作示范园创新设立仲裁法律服务联络点；与南京公证处、南京市知识产权保护中心联合成立全国首家跨境电商知识产权保护联盟；与南京海事局共同创建全国首个海事“调解+仲裁”协作机制。</w:t>
      </w:r>
      <w:r>
        <w:rPr>
          <w:rFonts w:hint="eastAsia" w:ascii="国标黑体" w:hAnsi="国标黑体" w:eastAsia="国标黑体" w:cs="国标黑体"/>
          <w:bCs/>
          <w:sz w:val="32"/>
          <w:szCs w:val="32"/>
          <w:lang w:val="en-US" w:eastAsia="zh-CN"/>
        </w:rPr>
        <w:t>四是营商环境赋能，服务效能凸显。</w:t>
      </w:r>
      <w:r>
        <w:rPr>
          <w:rFonts w:hint="eastAsia" w:ascii="仿宋_GB2312" w:hAnsi="仿宋_GB2312" w:eastAsia="仿宋_GB2312" w:cs="仿宋_GB2312"/>
          <w:bCs/>
          <w:sz w:val="32"/>
          <w:szCs w:val="32"/>
          <w:lang w:val="en-US" w:eastAsia="zh-CN"/>
        </w:rPr>
        <w:t>制定</w:t>
      </w:r>
      <w:r>
        <w:rPr>
          <w:rFonts w:hint="eastAsia" w:ascii="仿宋_GB2312" w:hAnsi="仿宋_GB2312" w:eastAsia="仿宋_GB2312" w:cs="仿宋_GB2312"/>
          <w:bCs/>
          <w:sz w:val="32"/>
          <w:szCs w:val="32"/>
        </w:rPr>
        <w:t>优化营商环境十</w:t>
      </w:r>
      <w:r>
        <w:rPr>
          <w:rFonts w:hint="eastAsia" w:ascii="仿宋_GB2312" w:hAnsi="仿宋_GB2312" w:eastAsia="仿宋_GB2312" w:cs="仿宋_GB2312"/>
          <w:bCs/>
          <w:sz w:val="32"/>
          <w:szCs w:val="32"/>
          <w:lang w:val="en-US" w:eastAsia="zh-CN"/>
        </w:rPr>
        <w:t>条</w:t>
      </w:r>
      <w:r>
        <w:rPr>
          <w:rFonts w:hint="eastAsia" w:ascii="仿宋_GB2312" w:hAnsi="仿宋_GB2312" w:eastAsia="仿宋_GB2312" w:cs="仿宋_GB2312"/>
          <w:bCs/>
          <w:sz w:val="32"/>
          <w:szCs w:val="32"/>
        </w:rPr>
        <w:t>举措</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lang w:val="en-US" w:eastAsia="zh-CN"/>
        </w:rPr>
        <w:t>推行智慧仲裁、“一窗通办” 等便企举措，发布专项规则、风险指引、重点领域典型案例，全年</w:t>
      </w:r>
      <w:r>
        <w:rPr>
          <w:rFonts w:hint="eastAsia" w:ascii="仿宋_GB2312" w:hAnsi="仿宋_GB2312" w:eastAsia="仿宋_GB2312" w:cs="仿宋_GB2312"/>
          <w:bCs/>
          <w:sz w:val="32"/>
          <w:szCs w:val="32"/>
          <w:lang w:eastAsia="zh-CN"/>
        </w:rPr>
        <w:t>累计为企业缓交仲裁费近千万，调解撤案退费400余万，</w:t>
      </w:r>
      <w:r>
        <w:rPr>
          <w:rFonts w:hint="eastAsia" w:ascii="仿宋_GB2312" w:hAnsi="仿宋_GB2312" w:eastAsia="仿宋_GB2312" w:cs="仿宋_GB2312"/>
          <w:bCs/>
          <w:sz w:val="32"/>
          <w:szCs w:val="32"/>
          <w:lang w:val="en-US" w:eastAsia="zh-CN"/>
        </w:rPr>
        <w:t xml:space="preserve">为企业 “走出去” 与区域经济发展提供高效法治保障。 </w:t>
      </w:r>
    </w:p>
    <w:p w14:paraId="0B811FF7">
      <w:pPr>
        <w:keepNext w:val="0"/>
        <w:keepLines w:val="0"/>
        <w:pageBreakBefore w:val="0"/>
        <w:widowControl/>
        <w:numPr>
          <w:ilvl w:val="0"/>
          <w:numId w:val="0"/>
        </w:numPr>
        <w:tabs>
          <w:tab w:val="left" w:pos="0"/>
        </w:tabs>
        <w:kinsoku/>
        <w:wordWrap/>
        <w:overflowPunct/>
        <w:topLinePunct w:val="0"/>
        <w:autoSpaceDE/>
        <w:autoSpaceDN/>
        <w:bidi w:val="0"/>
        <w:adjustRightInd/>
        <w:spacing w:line="560" w:lineRule="exact"/>
        <w:ind w:firstLine="640" w:firstLineChars="200"/>
        <w:textAlignment w:val="auto"/>
        <w:rPr>
          <w:rFonts w:hint="eastAsia" w:ascii="黑体" w:hAnsi="黑体" w:eastAsia="黑体" w:cs="黑体"/>
          <w:b w:val="0"/>
          <w:bCs w:val="0"/>
          <w:sz w:val="32"/>
          <w:szCs w:val="32"/>
          <w:shd w:val="clear" w:color="auto" w:fill="FFFFFF"/>
          <w:lang w:val="en-US" w:eastAsia="zh-CN"/>
        </w:rPr>
      </w:pPr>
      <w:r>
        <w:rPr>
          <w:rFonts w:hint="eastAsia" w:ascii="黑体" w:hAnsi="黑体" w:eastAsia="黑体" w:cs="黑体"/>
          <w:sz w:val="32"/>
          <w:szCs w:val="32"/>
          <w:lang w:val="en-US" w:eastAsia="zh-CN"/>
        </w:rPr>
        <w:t>一、</w:t>
      </w:r>
      <w:r>
        <w:rPr>
          <w:rFonts w:hint="eastAsia" w:ascii="黑体" w:hAnsi="黑体" w:eastAsia="黑体" w:cs="黑体"/>
          <w:b w:val="0"/>
          <w:bCs w:val="0"/>
          <w:sz w:val="32"/>
          <w:szCs w:val="32"/>
          <w:shd w:val="clear" w:color="auto" w:fill="FFFFFF"/>
          <w:lang w:val="en-US" w:eastAsia="zh-CN"/>
        </w:rPr>
        <w:t>以优化营商环境为纲，提升仲裁便民惠企执行力</w:t>
      </w:r>
    </w:p>
    <w:p w14:paraId="7504EBBA">
      <w:pPr>
        <w:keepNext w:val="0"/>
        <w:keepLines w:val="0"/>
        <w:pageBreakBefore w:val="0"/>
        <w:widowControl/>
        <w:numPr>
          <w:ilvl w:val="0"/>
          <w:numId w:val="0"/>
        </w:numPr>
        <w:kinsoku/>
        <w:wordWrap/>
        <w:overflowPunct/>
        <w:topLinePunct w:val="0"/>
        <w:autoSpaceDE/>
        <w:autoSpaceDN/>
        <w:bidi w:val="0"/>
        <w:adjustRightInd/>
        <w:spacing w:line="560" w:lineRule="exact"/>
        <w:ind w:firstLine="640" w:firstLineChars="200"/>
        <w:contextualSpacing/>
        <w:jc w:val="both"/>
        <w:textAlignment w:val="auto"/>
        <w:rPr>
          <w:rFonts w:hint="eastAsia" w:ascii="仿宋_GB2312" w:hAnsi="仿宋_GB2312" w:eastAsia="仿宋_GB2312" w:cs="仿宋_GB2312"/>
          <w:sz w:val="32"/>
          <w:szCs w:val="32"/>
        </w:rPr>
      </w:pPr>
      <w:r>
        <w:rPr>
          <w:rFonts w:hint="eastAsia" w:ascii="楷体" w:hAnsi="楷体" w:eastAsia="楷体" w:cs="楷体"/>
          <w:bCs/>
          <w:sz w:val="32"/>
          <w:szCs w:val="32"/>
          <w:lang w:val="en-US" w:eastAsia="zh-CN"/>
        </w:rPr>
        <w:t>（一）</w:t>
      </w:r>
      <w:r>
        <w:rPr>
          <w:rFonts w:hint="eastAsia" w:ascii="楷体" w:hAnsi="楷体" w:eastAsia="楷体" w:cs="楷体"/>
          <w:sz w:val="32"/>
          <w:szCs w:val="32"/>
          <w:lang w:val="en-US" w:eastAsia="zh-CN"/>
        </w:rPr>
        <w:t>优化</w:t>
      </w:r>
      <w:r>
        <w:rPr>
          <w:rFonts w:hint="eastAsia" w:ascii="楷体" w:hAnsi="楷体" w:eastAsia="楷体" w:cs="楷体"/>
          <w:sz w:val="32"/>
          <w:szCs w:val="32"/>
        </w:rPr>
        <w:t>新质生产力</w:t>
      </w:r>
      <w:r>
        <w:rPr>
          <w:rFonts w:hint="eastAsia" w:ascii="楷体" w:hAnsi="楷体" w:eastAsia="楷体" w:cs="楷体"/>
          <w:sz w:val="32"/>
          <w:szCs w:val="32"/>
          <w:lang w:val="en-US" w:eastAsia="zh-CN"/>
        </w:rPr>
        <w:t>仲裁保障</w:t>
      </w:r>
      <w:r>
        <w:rPr>
          <w:rFonts w:hint="eastAsia" w:ascii="楷体" w:hAnsi="楷体" w:eastAsia="楷体" w:cs="楷体"/>
          <w:sz w:val="32"/>
          <w:szCs w:val="32"/>
        </w:rPr>
        <w:t>。</w:t>
      </w:r>
      <w:r>
        <w:rPr>
          <w:rFonts w:hint="eastAsia" w:ascii="仿宋" w:hAnsi="仿宋" w:eastAsia="仿宋" w:cs="仿宋"/>
          <w:b/>
          <w:bCs/>
          <w:sz w:val="32"/>
          <w:szCs w:val="32"/>
          <w:lang w:val="en-US" w:eastAsia="zh-CN"/>
        </w:rPr>
        <w:t>案件质效提升</w:t>
      </w:r>
      <w:r>
        <w:rPr>
          <w:rFonts w:hint="eastAsia" w:ascii="仿宋" w:hAnsi="仿宋" w:eastAsia="仿宋" w:cs="仿宋"/>
          <w:b/>
          <w:bCs/>
          <w:sz w:val="32"/>
          <w:szCs w:val="32"/>
        </w:rPr>
        <w:t>明显</w:t>
      </w:r>
      <w:r>
        <w:rPr>
          <w:rFonts w:hint="eastAsia" w:ascii="仿宋" w:hAnsi="仿宋" w:eastAsia="仿宋" w:cs="仿宋"/>
          <w:b/>
          <w:bCs/>
          <w:sz w:val="32"/>
          <w:szCs w:val="32"/>
          <w:lang w:eastAsia="zh-CN"/>
        </w:rPr>
        <w:t>，</w:t>
      </w:r>
      <w:r>
        <w:rPr>
          <w:rFonts w:hint="eastAsia" w:ascii="仿宋_GB2312" w:hAnsi="仿宋_GB2312" w:eastAsia="仿宋_GB2312" w:cs="仿宋_GB2312"/>
          <w:b w:val="0"/>
          <w:bCs w:val="0"/>
          <w:sz w:val="32"/>
          <w:szCs w:val="32"/>
          <w:lang w:val="en-US" w:eastAsia="zh-CN"/>
        </w:rPr>
        <w:t>今年已累计受理知识产权案件435件，争议金额1.5亿，其中知识产权调解仲裁中心处理纠纷271件，争议金额6209万。</w:t>
      </w:r>
      <w:r>
        <w:rPr>
          <w:rFonts w:hint="eastAsia" w:ascii="仿宋_GB2312" w:hAnsi="仿宋_GB2312" w:eastAsia="仿宋_GB2312" w:cs="仿宋_GB2312"/>
          <w:sz w:val="32"/>
          <w:szCs w:val="32"/>
        </w:rPr>
        <w:t>案件类型涵盖专利、商标、著作权、特许经营、技术合同、商业秘密等全领域。</w:t>
      </w:r>
      <w:r>
        <w:rPr>
          <w:rFonts w:hint="eastAsia" w:ascii="仿宋_GB2312" w:hAnsi="仿宋_GB2312" w:eastAsia="仿宋_GB2312" w:cs="仿宋_GB2312"/>
          <w:sz w:val="32"/>
          <w:szCs w:val="32"/>
          <w:lang w:val="en-US" w:eastAsia="zh-CN"/>
        </w:rPr>
        <w:t>涉知识产权案件</w:t>
      </w:r>
      <w:r>
        <w:rPr>
          <w:rFonts w:hint="eastAsia" w:ascii="仿宋_GB2312" w:hAnsi="仿宋_GB2312" w:eastAsia="仿宋_GB2312" w:cs="仿宋_GB2312"/>
          <w:sz w:val="32"/>
          <w:szCs w:val="32"/>
        </w:rPr>
        <w:t>调解和解案率超50%，平均审理周期不超过65天。</w:t>
      </w:r>
      <w:r>
        <w:rPr>
          <w:rFonts w:hint="eastAsia" w:ascii="仿宋_GB2312" w:hAnsi="仿宋_GB2312" w:eastAsia="仿宋_GB2312" w:cs="仿宋_GB2312"/>
          <w:b/>
          <w:bCs/>
          <w:sz w:val="32"/>
          <w:szCs w:val="32"/>
          <w:lang w:val="en-US" w:eastAsia="zh-CN"/>
        </w:rPr>
        <w:t>仲裁保护公开发布</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sz w:val="32"/>
          <w:szCs w:val="32"/>
        </w:rPr>
        <w:t>参与市政府召开的知识产权新闻发布会，发布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十四五</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期间</w:t>
      </w:r>
      <w:r>
        <w:rPr>
          <w:rFonts w:hint="eastAsia" w:ascii="仿宋_GB2312" w:hAnsi="仿宋_GB2312" w:eastAsia="仿宋_GB2312" w:cs="仿宋_GB2312"/>
          <w:sz w:val="32"/>
          <w:szCs w:val="32"/>
        </w:rPr>
        <w:t>南京知识产权仲裁保护情况，在市政府发布的《南京市知识产权保护状况》白皮书中，专章介绍知识产权仲裁工作情况。</w:t>
      </w:r>
      <w:r>
        <w:rPr>
          <w:rFonts w:hint="eastAsia" w:ascii="仿宋_GB2312" w:hAnsi="仿宋_GB2312" w:eastAsia="仿宋_GB2312" w:cs="仿宋_GB2312"/>
          <w:b/>
          <w:bCs/>
          <w:sz w:val="32"/>
          <w:szCs w:val="32"/>
          <w:lang w:val="en-US" w:eastAsia="zh-CN"/>
        </w:rPr>
        <w:t>仲企联动持续推进，</w:t>
      </w:r>
      <w:r>
        <w:rPr>
          <w:rFonts w:hint="eastAsia" w:ascii="仿宋_GB2312" w:hAnsi="仿宋_GB2312" w:eastAsia="仿宋_GB2312" w:cs="仿宋_GB2312"/>
          <w:sz w:val="32"/>
          <w:szCs w:val="32"/>
          <w:lang w:eastAsia="zh-CN"/>
        </w:rPr>
        <w:t>发布《“十四五”期间知识产权典型案例》，</w:t>
      </w:r>
      <w:r>
        <w:rPr>
          <w:rFonts w:hint="eastAsia" w:ascii="仿宋_GB2312" w:hAnsi="仿宋_GB2312" w:eastAsia="仿宋_GB2312" w:cs="仿宋_GB2312"/>
          <w:sz w:val="32"/>
          <w:szCs w:val="32"/>
          <w:lang w:val="en-US" w:eastAsia="zh-CN"/>
        </w:rPr>
        <w:t>并</w:t>
      </w:r>
      <w:r>
        <w:rPr>
          <w:rFonts w:hint="eastAsia" w:ascii="仿宋_GB2312" w:hAnsi="仿宋_GB2312" w:eastAsia="仿宋_GB2312" w:cs="仿宋_GB2312"/>
          <w:sz w:val="32"/>
          <w:szCs w:val="32"/>
          <w:lang w:eastAsia="zh-CN"/>
        </w:rPr>
        <w:t>进行深度解读，</w:t>
      </w:r>
      <w:r>
        <w:rPr>
          <w:rFonts w:hint="eastAsia" w:ascii="仿宋_GB2312" w:hAnsi="仿宋_GB2312" w:eastAsia="仿宋_GB2312" w:cs="仿宋_GB2312"/>
          <w:sz w:val="32"/>
          <w:szCs w:val="32"/>
          <w:lang w:val="en-US" w:eastAsia="zh-CN"/>
        </w:rPr>
        <w:t>邀请仲裁员、律师、研究院、企业代表，</w:t>
      </w:r>
      <w:r>
        <w:rPr>
          <w:rFonts w:hint="eastAsia" w:ascii="仿宋_GB2312" w:hAnsi="仿宋_GB2312" w:eastAsia="仿宋_GB2312" w:cs="仿宋_GB2312"/>
          <w:sz w:val="32"/>
          <w:szCs w:val="32"/>
          <w:lang w:eastAsia="zh-CN"/>
        </w:rPr>
        <w:t>针对科创企业</w:t>
      </w:r>
      <w:r>
        <w:rPr>
          <w:rFonts w:hint="eastAsia" w:ascii="仿宋_GB2312" w:hAnsi="仿宋_GB2312" w:eastAsia="仿宋_GB2312" w:cs="仿宋_GB2312"/>
          <w:sz w:val="32"/>
          <w:szCs w:val="32"/>
          <w:lang w:val="en-US" w:eastAsia="zh-CN"/>
        </w:rPr>
        <w:t>经营中的</w:t>
      </w:r>
      <w:r>
        <w:rPr>
          <w:rFonts w:hint="eastAsia" w:ascii="仿宋_GB2312" w:hAnsi="仿宋_GB2312" w:eastAsia="仿宋_GB2312" w:cs="仿宋_GB2312"/>
          <w:sz w:val="32"/>
          <w:szCs w:val="32"/>
          <w:lang w:eastAsia="zh-CN"/>
        </w:rPr>
        <w:t>法律风险，提出对知识产权保护的思考与</w:t>
      </w:r>
      <w:r>
        <w:rPr>
          <w:rFonts w:hint="eastAsia" w:ascii="仿宋_GB2312" w:hAnsi="仿宋_GB2312" w:eastAsia="仿宋_GB2312" w:cs="仿宋_GB2312"/>
          <w:sz w:val="32"/>
          <w:szCs w:val="32"/>
          <w:lang w:val="en-US" w:eastAsia="zh-CN"/>
        </w:rPr>
        <w:t>防范</w:t>
      </w:r>
      <w:r>
        <w:rPr>
          <w:rFonts w:hint="eastAsia" w:ascii="仿宋_GB2312" w:hAnsi="仿宋_GB2312" w:eastAsia="仿宋_GB2312" w:cs="仿宋_GB2312"/>
          <w:sz w:val="32"/>
          <w:szCs w:val="32"/>
          <w:lang w:eastAsia="zh-CN"/>
        </w:rPr>
        <w:t>建议。</w:t>
      </w:r>
      <w:r>
        <w:rPr>
          <w:rFonts w:hint="eastAsia" w:ascii="仿宋_GB2312" w:hAnsi="仿宋_GB2312" w:eastAsia="仿宋_GB2312" w:cs="仿宋_GB2312"/>
          <w:b/>
          <w:bCs/>
          <w:sz w:val="32"/>
          <w:szCs w:val="32"/>
          <w:lang w:val="en-US" w:eastAsia="zh-CN"/>
        </w:rPr>
        <w:t>合作</w:t>
      </w:r>
      <w:r>
        <w:rPr>
          <w:rFonts w:hint="eastAsia" w:ascii="仿宋_GB2312" w:hAnsi="仿宋_GB2312" w:eastAsia="仿宋_GB2312" w:cs="仿宋_GB2312"/>
          <w:b/>
          <w:bCs/>
          <w:sz w:val="32"/>
          <w:szCs w:val="32"/>
          <w:lang w:eastAsia="zh-CN"/>
        </w:rPr>
        <w:t>机制日益完善，</w:t>
      </w:r>
      <w:r>
        <w:rPr>
          <w:rFonts w:hint="eastAsia" w:ascii="仿宋_GB2312" w:hAnsi="仿宋_GB2312" w:eastAsia="仿宋_GB2312" w:cs="仿宋_GB2312"/>
          <w:b w:val="0"/>
          <w:bCs w:val="0"/>
          <w:sz w:val="32"/>
          <w:szCs w:val="32"/>
          <w:lang w:val="en-US" w:eastAsia="zh-CN"/>
        </w:rPr>
        <w:t>与</w:t>
      </w:r>
      <w:r>
        <w:rPr>
          <w:rFonts w:hint="eastAsia" w:ascii="仿宋_GB2312" w:hAnsi="仿宋_GB2312" w:eastAsia="仿宋_GB2312" w:cs="仿宋_GB2312"/>
          <w:b w:val="0"/>
          <w:bCs w:val="0"/>
          <w:sz w:val="32"/>
          <w:szCs w:val="32"/>
          <w:lang w:eastAsia="zh-CN"/>
        </w:rPr>
        <w:t>南京公证处、南京市知识产权保护中心共同签署《跨境电商知识产权协同保护协议》，联合成立全国首家跨境电商知识产权保护联盟，为跨境电商企业提供确权、维权、纠纷化解的一体化服务。</w:t>
      </w:r>
      <w:r>
        <w:rPr>
          <w:rFonts w:hint="eastAsia" w:ascii="仿宋_GB2312" w:hAnsi="仿宋_GB2312" w:eastAsia="仿宋_GB2312" w:cs="仿宋_GB2312"/>
          <w:b w:val="0"/>
          <w:bCs w:val="0"/>
          <w:sz w:val="32"/>
          <w:szCs w:val="32"/>
          <w:lang w:val="en-US" w:eastAsia="zh-CN"/>
        </w:rPr>
        <w:t>近日，通过运用“仲裁+公证+行政”一体化机制，一起跨境知识产权纠纷仅用时两周快速调解并经仲裁确认结案，为跨境电商知识产权保护树立新样本</w:t>
      </w:r>
      <w:r>
        <w:rPr>
          <w:rFonts w:hint="eastAsia" w:ascii="仿宋_GB2312" w:hAnsi="仿宋_GB2312" w:eastAsia="仿宋_GB2312" w:cs="仿宋_GB2312"/>
          <w:b w:val="0"/>
          <w:bCs w:val="0"/>
          <w:sz w:val="32"/>
          <w:szCs w:val="32"/>
          <w:lang w:eastAsia="zh-CN"/>
        </w:rPr>
        <w:t>。</w:t>
      </w:r>
    </w:p>
    <w:p w14:paraId="672573BA">
      <w:pPr>
        <w:pStyle w:val="4"/>
        <w:keepNext w:val="0"/>
        <w:keepLines w:val="0"/>
        <w:pageBreakBefore w:val="0"/>
        <w:kinsoku/>
        <w:wordWrap/>
        <w:overflowPunct/>
        <w:topLinePunct w:val="0"/>
        <w:autoSpaceDE/>
        <w:autoSpaceDN/>
        <w:bidi w:val="0"/>
        <w:adjustRightInd/>
        <w:spacing w:line="560" w:lineRule="exact"/>
        <w:ind w:firstLine="640" w:firstLineChars="200"/>
        <w:jc w:val="both"/>
        <w:textAlignment w:val="auto"/>
        <w:rPr>
          <w:rFonts w:hint="default" w:ascii="仿宋_GB2312" w:hAnsi="仿宋_GB2312" w:eastAsia="仿宋_GB2312" w:cs="仿宋_GB2312"/>
          <w:sz w:val="32"/>
          <w:szCs w:val="32"/>
          <w:lang w:val="en-US" w:eastAsia="zh-CN"/>
        </w:rPr>
      </w:pPr>
      <w:r>
        <w:rPr>
          <w:rFonts w:hint="eastAsia" w:ascii="楷体" w:hAnsi="楷体" w:eastAsia="楷体" w:cs="楷体"/>
          <w:bCs/>
          <w:sz w:val="32"/>
          <w:szCs w:val="32"/>
        </w:rPr>
        <w:t>（</w:t>
      </w:r>
      <w:r>
        <w:rPr>
          <w:rFonts w:hint="eastAsia" w:ascii="楷体" w:hAnsi="楷体" w:eastAsia="楷体" w:cs="楷体"/>
          <w:bCs/>
          <w:sz w:val="32"/>
          <w:szCs w:val="32"/>
          <w:lang w:val="en-US" w:eastAsia="zh-CN"/>
        </w:rPr>
        <w:t>二</w:t>
      </w:r>
      <w:r>
        <w:rPr>
          <w:rFonts w:hint="eastAsia" w:ascii="楷体" w:hAnsi="楷体" w:eastAsia="楷体" w:cs="楷体"/>
          <w:bCs/>
          <w:sz w:val="32"/>
          <w:szCs w:val="32"/>
        </w:rPr>
        <w:t>）</w:t>
      </w:r>
      <w:r>
        <w:rPr>
          <w:rFonts w:hint="eastAsia" w:ascii="楷体" w:hAnsi="楷体" w:eastAsia="楷体" w:cs="楷体"/>
          <w:bCs/>
          <w:sz w:val="32"/>
          <w:szCs w:val="32"/>
          <w:lang w:val="en-US" w:eastAsia="zh-CN"/>
        </w:rPr>
        <w:t>持续开展</w:t>
      </w:r>
      <w:r>
        <w:rPr>
          <w:rFonts w:hint="eastAsia" w:ascii="楷体" w:hAnsi="楷体" w:eastAsia="楷体" w:cs="楷体"/>
          <w:bCs/>
          <w:sz w:val="32"/>
          <w:szCs w:val="32"/>
          <w:lang w:eastAsia="zh-CN"/>
        </w:rPr>
        <w:t>“</w:t>
      </w:r>
      <w:r>
        <w:rPr>
          <w:rFonts w:hint="eastAsia" w:ascii="楷体" w:hAnsi="楷体" w:eastAsia="楷体" w:cs="楷体"/>
          <w:bCs/>
          <w:sz w:val="32"/>
          <w:szCs w:val="32"/>
          <w:lang w:val="en-US" w:eastAsia="zh-CN"/>
        </w:rPr>
        <w:t>仲裁服务+</w:t>
      </w:r>
      <w:r>
        <w:rPr>
          <w:rFonts w:hint="eastAsia" w:ascii="楷体" w:hAnsi="楷体" w:eastAsia="楷体" w:cs="楷体"/>
          <w:bCs/>
          <w:sz w:val="32"/>
          <w:szCs w:val="32"/>
          <w:lang w:eastAsia="zh-CN"/>
        </w:rPr>
        <w:t>”</w:t>
      </w:r>
      <w:r>
        <w:rPr>
          <w:rFonts w:hint="eastAsia" w:ascii="楷体" w:hAnsi="楷体" w:eastAsia="楷体" w:cs="楷体"/>
          <w:bCs/>
          <w:sz w:val="32"/>
          <w:szCs w:val="32"/>
          <w:lang w:val="en-US" w:eastAsia="zh-CN"/>
        </w:rPr>
        <w:t>创新实践</w:t>
      </w:r>
      <w:r>
        <w:rPr>
          <w:rFonts w:hint="eastAsia" w:ascii="楷体" w:hAnsi="楷体" w:eastAsia="楷体" w:cs="楷体"/>
          <w:bCs/>
          <w:sz w:val="32"/>
          <w:szCs w:val="32"/>
        </w:rPr>
        <w:t>。</w:t>
      </w:r>
      <w:r>
        <w:rPr>
          <w:rFonts w:hint="eastAsia" w:ascii="仿宋_GB2312" w:hAnsi="仿宋_GB2312" w:eastAsia="仿宋_GB2312" w:cs="仿宋_GB2312"/>
          <w:b/>
          <w:bCs/>
          <w:sz w:val="32"/>
          <w:szCs w:val="32"/>
        </w:rPr>
        <w:t>一是</w:t>
      </w:r>
      <w:r>
        <w:rPr>
          <w:rFonts w:hint="eastAsia" w:ascii="仿宋_GB2312" w:hAnsi="仿宋_GB2312" w:eastAsia="仿宋_GB2312" w:cs="仿宋_GB2312"/>
          <w:b/>
          <w:bCs/>
          <w:sz w:val="32"/>
          <w:szCs w:val="32"/>
          <w:lang w:val="en-US" w:eastAsia="zh-CN"/>
        </w:rPr>
        <w:t>构建“一站式”仲裁服务体系</w:t>
      </w:r>
      <w:r>
        <w:rPr>
          <w:rFonts w:hint="eastAsia" w:ascii="仿宋_GB2312" w:hAnsi="仿宋_GB2312" w:eastAsia="仿宋_GB2312" w:cs="仿宋_GB2312"/>
          <w:b/>
          <w:bCs/>
          <w:sz w:val="32"/>
          <w:szCs w:val="32"/>
        </w:rPr>
        <w:t>。</w:t>
      </w:r>
      <w:r>
        <w:rPr>
          <w:rFonts w:hint="eastAsia" w:ascii="仿宋_GB2312" w:hAnsi="仿宋_GB2312" w:eastAsia="仿宋_GB2312" w:cs="仿宋_GB2312"/>
          <w:b w:val="0"/>
          <w:bCs w:val="0"/>
          <w:sz w:val="32"/>
          <w:szCs w:val="32"/>
          <w:lang w:val="en-US" w:eastAsia="zh-CN"/>
        </w:rPr>
        <w:t>与市工商联联合举办“</w:t>
      </w:r>
      <w:r>
        <w:rPr>
          <w:rFonts w:hint="eastAsia" w:ascii="仿宋_GB2312" w:hAnsi="仿宋_GB2312" w:eastAsia="仿宋_GB2312" w:cs="仿宋_GB2312"/>
          <w:b w:val="0"/>
          <w:bCs w:val="0"/>
          <w:sz w:val="32"/>
          <w:szCs w:val="32"/>
        </w:rPr>
        <w:t>法护民企，仲裁同行——《民营经济促进法》实施助力行动</w:t>
      </w:r>
      <w:r>
        <w:rPr>
          <w:rFonts w:hint="eastAsia" w:ascii="仿宋_GB2312" w:hAnsi="仿宋_GB2312" w:eastAsia="仿宋_GB2312" w:cs="仿宋_GB2312"/>
          <w:b w:val="0"/>
          <w:bCs w:val="0"/>
          <w:sz w:val="32"/>
          <w:szCs w:val="32"/>
          <w:lang w:val="en-US" w:eastAsia="zh-CN"/>
        </w:rPr>
        <w:t>”活动，知名高校学者为企业解读《民营经济促进法》，发布《优化营商环境典型案例》《南京仲裁办优化营商环境十条举措》，内容包括实行窗口“当日立案制”，对困难企业、“仲裁确认”案件、金融案件仲裁费予以缓、减、免，开通“速裁通道”，提供定制化清单式服务等，获得企业一致好评。</w:t>
      </w:r>
      <w:r>
        <w:rPr>
          <w:rFonts w:hint="eastAsia" w:ascii="仿宋_GB2312" w:hAnsi="仿宋_GB2312" w:eastAsia="仿宋_GB2312" w:cs="仿宋_GB2312"/>
          <w:b w:val="0"/>
          <w:bCs w:val="0"/>
          <w:sz w:val="32"/>
          <w:szCs w:val="32"/>
        </w:rPr>
        <w:t>主动对接服务园区企业，仲裁联络点入驻鼓楼高新区，把服务送上门</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lang w:val="en-US" w:eastAsia="zh-CN"/>
        </w:rPr>
        <w:t>优化整合六合、浦口办事处职能，由中国（江苏）自贸区仲裁院统筹江北地区仲裁服务。结合各区产业特点，</w:t>
      </w:r>
      <w:r>
        <w:rPr>
          <w:rFonts w:hint="eastAsia" w:ascii="仿宋_GB2312" w:hAnsi="仿宋_GB2312" w:eastAsia="仿宋_GB2312" w:cs="仿宋_GB2312"/>
          <w:b w:val="0"/>
          <w:bCs w:val="0"/>
          <w:sz w:val="32"/>
          <w:szCs w:val="32"/>
        </w:rPr>
        <w:t>走进</w:t>
      </w:r>
      <w:r>
        <w:rPr>
          <w:rFonts w:hint="eastAsia" w:ascii="仿宋_GB2312" w:hAnsi="仿宋_GB2312" w:eastAsia="仿宋_GB2312" w:cs="仿宋_GB2312"/>
          <w:b w:val="0"/>
          <w:bCs w:val="0"/>
          <w:sz w:val="32"/>
          <w:szCs w:val="32"/>
          <w:lang w:val="en-US" w:eastAsia="zh-CN"/>
        </w:rPr>
        <w:t>鼓楼区、秦淮区、自贸区</w:t>
      </w:r>
      <w:r>
        <w:rPr>
          <w:rFonts w:hint="eastAsia" w:ascii="仿宋_GB2312" w:hAnsi="仿宋_GB2312" w:eastAsia="仿宋_GB2312" w:cs="仿宋_GB2312"/>
          <w:b w:val="0"/>
          <w:bCs w:val="0"/>
          <w:sz w:val="32"/>
          <w:szCs w:val="32"/>
        </w:rPr>
        <w:t>等开展常态化的普法宣传活动，</w:t>
      </w:r>
      <w:r>
        <w:rPr>
          <w:rFonts w:hint="eastAsia" w:ascii="仿宋_GB2312" w:hAnsi="仿宋_GB2312" w:eastAsia="仿宋_GB2312" w:cs="仿宋_GB2312"/>
          <w:b w:val="0"/>
          <w:bCs w:val="0"/>
          <w:sz w:val="32"/>
          <w:szCs w:val="32"/>
          <w:lang w:val="en-US" w:eastAsia="zh-CN"/>
        </w:rPr>
        <w:t>为区内企业提供“定制化”仲裁服务，</w:t>
      </w:r>
      <w:r>
        <w:rPr>
          <w:rFonts w:hint="eastAsia" w:ascii="仿宋_GB2312" w:hAnsi="仿宋_GB2312" w:eastAsia="仿宋_GB2312" w:cs="仿宋_GB2312"/>
          <w:b w:val="0"/>
          <w:bCs w:val="0"/>
          <w:sz w:val="32"/>
          <w:szCs w:val="32"/>
        </w:rPr>
        <w:t>帮助企业提高合规建设水平和防范风险能力。</w:t>
      </w:r>
      <w:r>
        <w:rPr>
          <w:rFonts w:hint="eastAsia" w:ascii="仿宋_GB2312" w:hAnsi="仿宋_GB2312" w:eastAsia="仿宋_GB2312" w:cs="仿宋_GB2312"/>
          <w:b w:val="0"/>
          <w:bCs w:val="0"/>
          <w:sz w:val="32"/>
          <w:szCs w:val="32"/>
          <w:lang w:val="en-US" w:eastAsia="zh-CN"/>
        </w:rPr>
        <w:t>与</w:t>
      </w:r>
      <w:r>
        <w:rPr>
          <w:rFonts w:hint="eastAsia" w:ascii="仿宋_GB2312" w:hAnsi="仿宋_GB2312" w:eastAsia="仿宋_GB2312" w:cs="仿宋_GB2312"/>
          <w:b w:val="0"/>
          <w:bCs w:val="0"/>
          <w:sz w:val="32"/>
          <w:szCs w:val="32"/>
        </w:rPr>
        <w:t>16家多元法律服务机构</w:t>
      </w:r>
      <w:r>
        <w:rPr>
          <w:rFonts w:hint="eastAsia" w:ascii="仿宋_GB2312" w:hAnsi="仿宋_GB2312" w:eastAsia="仿宋_GB2312" w:cs="仿宋_GB2312"/>
          <w:b w:val="0"/>
          <w:bCs w:val="0"/>
          <w:sz w:val="32"/>
          <w:szCs w:val="32"/>
          <w:lang w:val="en-US" w:eastAsia="zh-CN"/>
        </w:rPr>
        <w:t>共同</w:t>
      </w:r>
      <w:r>
        <w:rPr>
          <w:rFonts w:hint="eastAsia" w:ascii="仿宋_GB2312" w:hAnsi="仿宋_GB2312" w:eastAsia="仿宋_GB2312" w:cs="仿宋_GB2312"/>
          <w:b w:val="0"/>
          <w:bCs w:val="0"/>
          <w:sz w:val="32"/>
          <w:szCs w:val="32"/>
        </w:rPr>
        <w:t>签约入驻扬子江法务区，在仲裁、域外法查明</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公证、调解、律师等建立“一站式”</w:t>
      </w:r>
      <w:r>
        <w:rPr>
          <w:rFonts w:hint="eastAsia" w:ascii="仿宋_GB2312" w:hAnsi="仿宋_GB2312" w:eastAsia="仿宋_GB2312" w:cs="仿宋_GB2312"/>
          <w:b w:val="0"/>
          <w:bCs w:val="0"/>
          <w:sz w:val="32"/>
          <w:szCs w:val="32"/>
          <w:highlight w:val="none"/>
        </w:rPr>
        <w:t>法律服务体系</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bCs/>
          <w:sz w:val="32"/>
          <w:szCs w:val="32"/>
          <w:lang w:val="en-US" w:eastAsia="zh-CN"/>
        </w:rPr>
        <w:t>二</w:t>
      </w:r>
      <w:r>
        <w:rPr>
          <w:rFonts w:hint="eastAsia" w:ascii="仿宋_GB2312" w:hAnsi="仿宋_GB2312" w:eastAsia="仿宋_GB2312" w:cs="仿宋_GB2312"/>
          <w:b/>
          <w:bCs/>
          <w:sz w:val="32"/>
          <w:szCs w:val="32"/>
        </w:rPr>
        <w:t>是</w:t>
      </w:r>
      <w:r>
        <w:rPr>
          <w:rFonts w:hint="eastAsia" w:ascii="仿宋_GB2312" w:hAnsi="仿宋_GB2312" w:eastAsia="仿宋_GB2312" w:cs="仿宋_GB2312"/>
          <w:b/>
          <w:bCs/>
          <w:sz w:val="32"/>
          <w:szCs w:val="32"/>
          <w:lang w:val="en-US" w:eastAsia="zh-CN"/>
        </w:rPr>
        <w:t>做优仲裁服务特色品牌</w:t>
      </w:r>
      <w:r>
        <w:rPr>
          <w:rFonts w:hint="eastAsia" w:ascii="仿宋_GB2312" w:hAnsi="仿宋_GB2312" w:eastAsia="仿宋_GB2312" w:cs="仿宋_GB2312"/>
          <w:b/>
          <w:bCs/>
          <w:sz w:val="32"/>
          <w:szCs w:val="32"/>
        </w:rPr>
        <w:t>。</w:t>
      </w:r>
      <w:r>
        <w:rPr>
          <w:rFonts w:hint="eastAsia" w:ascii="仿宋_GB2312" w:hAnsi="仿宋_GB2312" w:eastAsia="仿宋_GB2312" w:cs="仿宋_GB2312"/>
          <w:sz w:val="32"/>
          <w:szCs w:val="32"/>
          <w:lang w:val="en-US" w:eastAsia="zh-CN"/>
        </w:rPr>
        <w:t>延续“仲裁进律所”活动，已打造成为全省知名品牌，今年共举办3期</w:t>
      </w:r>
      <w:r>
        <w:rPr>
          <w:rFonts w:hint="eastAsia" w:ascii="仿宋_GB2312" w:hAnsi="仿宋_GB2312" w:eastAsia="仿宋_GB2312" w:cs="仿宋_GB2312"/>
          <w:sz w:val="32"/>
          <w:szCs w:val="32"/>
        </w:rPr>
        <w:t>“商事仲裁进律所”培训活动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聚焦公司法</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临时仲裁、新修订《仲裁法》等</w:t>
      </w:r>
      <w:r>
        <w:rPr>
          <w:rFonts w:hint="eastAsia" w:ascii="仿宋_GB2312" w:hAnsi="仿宋_GB2312" w:eastAsia="仿宋_GB2312" w:cs="仿宋_GB2312"/>
          <w:sz w:val="32"/>
          <w:szCs w:val="32"/>
        </w:rPr>
        <w:t>专题</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该项活动已累计举办12期，近5</w:t>
      </w:r>
      <w:r>
        <w:rPr>
          <w:rFonts w:hint="eastAsia" w:ascii="仿宋_GB2312" w:hAnsi="仿宋_GB2312" w:eastAsia="仿宋_GB2312" w:cs="仿宋_GB2312"/>
          <w:sz w:val="32"/>
          <w:szCs w:val="32"/>
        </w:rPr>
        <w:t>0家律所</w:t>
      </w:r>
      <w:r>
        <w:rPr>
          <w:rFonts w:hint="eastAsia" w:ascii="仿宋_GB2312" w:hAnsi="仿宋_GB2312" w:eastAsia="仿宋_GB2312" w:cs="仿宋_GB2312"/>
          <w:sz w:val="32"/>
          <w:szCs w:val="32"/>
          <w:lang w:val="en-US" w:eastAsia="zh-CN"/>
        </w:rPr>
        <w:t>，2000人次参与</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牵头举办第五届“南仲紫金・恒爱杯”大学生模拟商事仲裁庭大赛，吸引了来自华东地区三省一市22所高校66支队伍198名学生参赛，规模与影响力均为历届之最。</w:t>
      </w:r>
    </w:p>
    <w:p w14:paraId="666103F8">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黑体" w:hAnsi="黑体" w:eastAsia="黑体" w:cs="黑体"/>
          <w:b w:val="0"/>
          <w:bCs w:val="0"/>
          <w:kern w:val="0"/>
          <w:sz w:val="32"/>
          <w:szCs w:val="32"/>
          <w:lang w:val="en-US" w:eastAsia="zh-CN"/>
        </w:rPr>
      </w:pPr>
      <w:r>
        <w:rPr>
          <w:rFonts w:hint="eastAsia" w:ascii="黑体" w:hAnsi="黑体" w:eastAsia="黑体" w:cs="黑体"/>
          <w:b w:val="0"/>
          <w:bCs w:val="0"/>
          <w:kern w:val="0"/>
          <w:sz w:val="32"/>
          <w:szCs w:val="32"/>
          <w:lang w:val="en-US" w:eastAsia="zh-CN"/>
        </w:rPr>
        <w:t>二</w:t>
      </w:r>
      <w:r>
        <w:rPr>
          <w:rFonts w:hint="eastAsia" w:ascii="黑体" w:hAnsi="黑体" w:eastAsia="黑体" w:cs="黑体"/>
          <w:b w:val="0"/>
          <w:bCs w:val="0"/>
          <w:kern w:val="0"/>
          <w:sz w:val="32"/>
          <w:szCs w:val="32"/>
        </w:rPr>
        <w:t>、</w:t>
      </w:r>
      <w:r>
        <w:rPr>
          <w:rFonts w:hint="eastAsia" w:ascii="黑体" w:hAnsi="黑体" w:eastAsia="黑体" w:cs="黑体"/>
          <w:b w:val="0"/>
          <w:bCs w:val="0"/>
          <w:kern w:val="0"/>
          <w:sz w:val="32"/>
          <w:szCs w:val="32"/>
          <w:lang w:val="en-US" w:eastAsia="zh-CN"/>
        </w:rPr>
        <w:t>以服务</w:t>
      </w:r>
      <w:r>
        <w:rPr>
          <w:rFonts w:hint="eastAsia" w:ascii="黑体" w:hAnsi="黑体" w:eastAsia="黑体" w:cs="黑体"/>
          <w:b w:val="0"/>
          <w:bCs w:val="0"/>
          <w:kern w:val="0"/>
          <w:sz w:val="32"/>
          <w:szCs w:val="32"/>
        </w:rPr>
        <w:t>涉外法治建设</w:t>
      </w:r>
      <w:r>
        <w:rPr>
          <w:rFonts w:hint="eastAsia" w:ascii="黑体" w:hAnsi="黑体" w:eastAsia="黑体" w:cs="黑体"/>
          <w:b w:val="0"/>
          <w:bCs w:val="0"/>
          <w:kern w:val="0"/>
          <w:sz w:val="32"/>
          <w:szCs w:val="32"/>
          <w:lang w:val="en-US" w:eastAsia="zh-CN"/>
        </w:rPr>
        <w:t>为重</w:t>
      </w:r>
      <w:r>
        <w:rPr>
          <w:rFonts w:hint="eastAsia" w:ascii="黑体" w:hAnsi="黑体" w:eastAsia="黑体" w:cs="黑体"/>
          <w:b w:val="0"/>
          <w:bCs w:val="0"/>
          <w:kern w:val="0"/>
          <w:sz w:val="32"/>
          <w:szCs w:val="32"/>
        </w:rPr>
        <w:t>，增强跨境争议解决竞争力</w:t>
      </w:r>
    </w:p>
    <w:p w14:paraId="0731517F">
      <w:pPr>
        <w:keepNext w:val="0"/>
        <w:keepLines w:val="0"/>
        <w:pageBreakBefore w:val="0"/>
        <w:numPr>
          <w:ilvl w:val="0"/>
          <w:numId w:val="1"/>
        </w:numPr>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楷体" w:hAnsi="楷体" w:eastAsia="楷体" w:cs="楷体"/>
          <w:b w:val="0"/>
          <w:bCs/>
          <w:sz w:val="32"/>
          <w:szCs w:val="32"/>
        </w:rPr>
        <w:t>创新服务</w:t>
      </w:r>
      <w:r>
        <w:rPr>
          <w:rFonts w:hint="eastAsia" w:ascii="楷体" w:hAnsi="楷体" w:eastAsia="楷体" w:cs="楷体"/>
          <w:b w:val="0"/>
          <w:bCs/>
          <w:sz w:val="32"/>
          <w:szCs w:val="32"/>
          <w:lang w:val="en-US" w:eastAsia="zh-CN"/>
        </w:rPr>
        <w:t>“走出去”企业</w:t>
      </w:r>
      <w:r>
        <w:rPr>
          <w:rFonts w:hint="eastAsia" w:ascii="楷体" w:hAnsi="楷体" w:eastAsia="楷体" w:cs="楷体"/>
          <w:b w:val="0"/>
          <w:bCs/>
          <w:sz w:val="32"/>
          <w:szCs w:val="32"/>
        </w:rPr>
        <w:t>。</w:t>
      </w:r>
      <w:r>
        <w:rPr>
          <w:rFonts w:hint="eastAsia" w:ascii="仿宋_GB2312" w:hAnsi="仿宋_GB2312" w:eastAsia="仿宋_GB2312" w:cs="仿宋_GB2312"/>
          <w:b w:val="0"/>
          <w:bCs w:val="0"/>
          <w:sz w:val="32"/>
          <w:szCs w:val="32"/>
          <w:lang w:val="en-US" w:eastAsia="zh-CN"/>
        </w:rPr>
        <w:t>派员远赴阿联酋，创新设立国家首个“一带一路”产能合作园区仲裁法律服务联络点，服务40余家园区企业，并根据园区企业仲裁需求提供“定制化”仲裁服务，为中国企业“走出去”提供法治护航。</w:t>
      </w:r>
      <w:r>
        <w:rPr>
          <w:rFonts w:hint="eastAsia" w:ascii="仿宋_GB2312" w:hAnsi="仿宋_GB2312" w:eastAsia="仿宋_GB2312" w:cs="仿宋_GB2312"/>
          <w:b w:val="0"/>
          <w:bCs w:val="0"/>
          <w:sz w:val="32"/>
          <w:szCs w:val="32"/>
        </w:rPr>
        <w:t>联合肯尼亚江苏商会开展</w:t>
      </w:r>
      <w:r>
        <w:rPr>
          <w:rFonts w:hint="eastAsia" w:ascii="仿宋_GB2312" w:hAnsi="仿宋_GB2312" w:eastAsia="仿宋_GB2312" w:cs="仿宋_GB2312"/>
          <w:sz w:val="32"/>
          <w:szCs w:val="32"/>
        </w:rPr>
        <w:t>线上培训活动，</w:t>
      </w:r>
      <w:r>
        <w:rPr>
          <w:rFonts w:hint="eastAsia" w:ascii="仿宋_GB2312" w:hAnsi="仿宋_GB2312" w:eastAsia="仿宋_GB2312" w:cs="仿宋_GB2312"/>
          <w:sz w:val="32"/>
          <w:szCs w:val="32"/>
          <w:lang w:val="en-US" w:eastAsia="zh-CN"/>
        </w:rPr>
        <w:t>举办“走进中东”系列活动，累计为近150余家“走出去”企业进行公益培训授课，助力企业提升</w:t>
      </w:r>
      <w:r>
        <w:rPr>
          <w:rFonts w:hint="eastAsia" w:ascii="仿宋_GB2312" w:hAnsi="仿宋_GB2312" w:eastAsia="仿宋_GB2312" w:cs="仿宋_GB2312"/>
          <w:sz w:val="32"/>
          <w:szCs w:val="32"/>
        </w:rPr>
        <w:t>合规与风控体系构建能</w:t>
      </w:r>
      <w:r>
        <w:rPr>
          <w:rFonts w:hint="eastAsia" w:ascii="仿宋_GB2312" w:hAnsi="仿宋_GB2312" w:eastAsia="仿宋_GB2312" w:cs="仿宋_GB2312"/>
          <w:b w:val="0"/>
          <w:bCs w:val="0"/>
          <w:sz w:val="32"/>
          <w:szCs w:val="32"/>
          <w:lang w:val="en-US" w:eastAsia="zh-CN"/>
        </w:rPr>
        <w:t>力。由江苏省港澳办、省司法厅共同主办、南京仲裁委员会/江苏（南京）国际商事仲裁中心承办的江苏省港澳投资企业法律服务月暨南京港澳仲裁院成立十周年活动成功举办，会上专题</w:t>
      </w:r>
      <w:r>
        <w:rPr>
          <w:rFonts w:hint="eastAsia" w:ascii="仿宋_GB2312" w:hAnsi="仿宋_GB2312" w:eastAsia="仿宋_GB2312" w:cs="仿宋_GB2312"/>
          <w:b w:val="0"/>
          <w:bCs w:val="0"/>
          <w:sz w:val="32"/>
          <w:szCs w:val="32"/>
        </w:rPr>
        <w:t>发布港澳仲裁院</w:t>
      </w:r>
      <w:r>
        <w:rPr>
          <w:rFonts w:hint="eastAsia" w:ascii="仿宋_GB2312" w:hAnsi="仿宋_GB2312" w:eastAsia="仿宋_GB2312" w:cs="仿宋_GB2312"/>
          <w:b w:val="0"/>
          <w:bCs w:val="0"/>
          <w:sz w:val="32"/>
          <w:szCs w:val="32"/>
          <w:lang w:val="en-US" w:eastAsia="zh-CN"/>
        </w:rPr>
        <w:t>港澳仲裁工作报告</w:t>
      </w:r>
      <w:r>
        <w:rPr>
          <w:rFonts w:hint="eastAsia" w:ascii="仿宋_GB2312" w:hAnsi="仿宋_GB2312" w:eastAsia="仿宋_GB2312" w:cs="仿宋_GB2312"/>
          <w:b w:val="0"/>
          <w:bCs w:val="0"/>
          <w:sz w:val="32"/>
          <w:szCs w:val="32"/>
        </w:rPr>
        <w:t>和涉港澳典型案例</w:t>
      </w:r>
      <w:r>
        <w:rPr>
          <w:rFonts w:hint="eastAsia" w:ascii="仿宋_GB2312" w:hAnsi="仿宋_GB2312" w:eastAsia="仿宋_GB2312" w:cs="仿宋_GB2312"/>
          <w:b w:val="0"/>
          <w:bCs w:val="0"/>
          <w:sz w:val="32"/>
          <w:szCs w:val="32"/>
          <w:lang w:val="en-US" w:eastAsia="zh-CN"/>
        </w:rPr>
        <w:t>6篇，涉及跨境贸易、国际运输、国际工程等领域。全年累计服务“专精特新”、外资企业、“走出去”企业百余家，组织举办涉外法治专题培训活动等30余场，受众超2000人次。</w:t>
      </w:r>
    </w:p>
    <w:p w14:paraId="7F29CDB3">
      <w:pPr>
        <w:keepNext w:val="0"/>
        <w:keepLines w:val="0"/>
        <w:pageBreakBefore w:val="0"/>
        <w:widowControl/>
        <w:numPr>
          <w:ilvl w:val="0"/>
          <w:numId w:val="0"/>
        </w:numPr>
        <w:suppressLineNumbers w:val="0"/>
        <w:kinsoku/>
        <w:wordWrap/>
        <w:overflowPunct/>
        <w:topLinePunct w:val="0"/>
        <w:autoSpaceDN/>
        <w:bidi w:val="0"/>
        <w:adjustRightInd/>
        <w:snapToGrid/>
        <w:spacing w:before="0" w:beforeAutospacing="0" w:after="0" w:afterAutospacing="0" w:line="560" w:lineRule="exact"/>
        <w:ind w:right="0" w:rightChars="0" w:firstLine="640" w:firstLineChars="200"/>
        <w:jc w:val="left"/>
        <w:textAlignment w:val="auto"/>
        <w:rPr>
          <w:rFonts w:hint="eastAsia" w:ascii="仿宋_GB2312" w:hAnsi="仿宋_GB2312" w:eastAsia="仿宋_GB2312" w:cs="仿宋_GB2312"/>
          <w:b w:val="0"/>
          <w:bCs w:val="0"/>
          <w:kern w:val="2"/>
          <w:sz w:val="32"/>
          <w:szCs w:val="32"/>
          <w:lang w:val="en-US" w:eastAsia="zh-CN" w:bidi="ar"/>
        </w:rPr>
      </w:pPr>
      <w:r>
        <w:rPr>
          <w:rFonts w:hint="eastAsia" w:ascii="楷体" w:hAnsi="楷体" w:eastAsia="楷体" w:cs="楷体"/>
          <w:sz w:val="32"/>
          <w:szCs w:val="32"/>
          <w:lang w:val="en-US" w:eastAsia="zh-CN"/>
        </w:rPr>
        <w:t>（二）加强对外交流与合作。</w:t>
      </w:r>
      <w:r>
        <w:rPr>
          <w:rFonts w:hint="eastAsia" w:ascii="仿宋_GB2312" w:hAnsi="仿宋_GB2312" w:eastAsia="仿宋_GB2312" w:cs="仿宋_GB2312"/>
          <w:color w:val="auto"/>
          <w:sz w:val="32"/>
          <w:szCs w:val="32"/>
          <w:lang w:val="en-US" w:eastAsia="zh-CN"/>
        </w:rPr>
        <w:t>受邀参加</w:t>
      </w:r>
      <w:r>
        <w:rPr>
          <w:rFonts w:hint="eastAsia" w:ascii="仿宋_GB2312" w:hAnsi="仿宋_GB2312" w:eastAsia="仿宋_GB2312" w:cs="仿宋_GB2312"/>
          <w:color w:val="auto"/>
          <w:kern w:val="0"/>
          <w:sz w:val="32"/>
          <w:szCs w:val="32"/>
          <w:lang w:val="en-US" w:eastAsia="zh-CN" w:bidi="ar"/>
        </w:rPr>
        <w:t>江苏省司法厅在澳门举办的第二届江苏省涉外法律服务推介活动，面向中国香港、中国澳门、新加坡等国（境）内外知名法律行业协会和法律服务机构进行宣讲，介绍南京仲裁在涉外仲裁服务方面的创新探索与实践成果。</w:t>
      </w:r>
      <w:r>
        <w:rPr>
          <w:rFonts w:hint="eastAsia" w:ascii="仿宋_GB2312" w:hAnsi="仿宋_GB2312" w:eastAsia="仿宋_GB2312" w:cs="仿宋_GB2312"/>
          <w:color w:val="auto"/>
          <w:sz w:val="32"/>
          <w:szCs w:val="32"/>
        </w:rPr>
        <w:t>接待粤港澳大湾区律师内地考察交流团到访，</w:t>
      </w:r>
      <w:r>
        <w:rPr>
          <w:rFonts w:hint="eastAsia" w:ascii="仿宋_GB2312" w:hAnsi="仿宋_GB2312" w:eastAsia="仿宋_GB2312" w:cs="仿宋_GB2312"/>
          <w:color w:val="auto"/>
          <w:sz w:val="32"/>
          <w:szCs w:val="32"/>
          <w:lang w:val="en-US" w:eastAsia="zh-CN"/>
        </w:rPr>
        <w:t>分别</w:t>
      </w:r>
      <w:r>
        <w:rPr>
          <w:rFonts w:hint="eastAsia" w:ascii="仿宋_GB2312" w:hAnsi="仿宋_GB2312" w:eastAsia="仿宋_GB2312" w:cs="仿宋_GB2312"/>
          <w:color w:val="auto"/>
          <w:sz w:val="32"/>
          <w:szCs w:val="32"/>
        </w:rPr>
        <w:t>与</w:t>
      </w:r>
      <w:r>
        <w:rPr>
          <w:rFonts w:hint="eastAsia" w:ascii="仿宋_GB2312" w:hAnsi="仿宋_GB2312" w:eastAsia="仿宋_GB2312" w:cs="仿宋_GB2312"/>
          <w:i w:val="0"/>
          <w:iCs w:val="0"/>
          <w:caps w:val="0"/>
          <w:color w:val="auto"/>
          <w:spacing w:val="0"/>
          <w:sz w:val="32"/>
          <w:szCs w:val="32"/>
          <w:shd w:val="clear" w:color="auto" w:fill="FFFFFF"/>
        </w:rPr>
        <w:t>澳门世界贸易中心仲裁中心</w:t>
      </w:r>
      <w:r>
        <w:rPr>
          <w:rFonts w:hint="eastAsia" w:ascii="仿宋_GB2312" w:hAnsi="仿宋_GB2312" w:eastAsia="仿宋_GB2312" w:cs="仿宋_GB2312"/>
          <w:i w:val="0"/>
          <w:iCs w:val="0"/>
          <w:caps w:val="0"/>
          <w:color w:val="auto"/>
          <w:spacing w:val="0"/>
          <w:sz w:val="32"/>
          <w:szCs w:val="32"/>
          <w:shd w:val="clear" w:color="auto" w:fill="FFFFFF"/>
          <w:lang w:eastAsia="zh-CN"/>
        </w:rPr>
        <w:t>、</w:t>
      </w:r>
      <w:r>
        <w:rPr>
          <w:rFonts w:hint="eastAsia" w:ascii="仿宋_GB2312" w:hAnsi="仿宋_GB2312" w:eastAsia="仿宋_GB2312" w:cs="仿宋_GB2312"/>
          <w:color w:val="auto"/>
          <w:sz w:val="32"/>
          <w:szCs w:val="32"/>
        </w:rPr>
        <w:t>蓝海法律查明和商事调解中心</w:t>
      </w:r>
      <w:r>
        <w:rPr>
          <w:rFonts w:hint="eastAsia" w:ascii="仿宋_GB2312" w:hAnsi="仿宋_GB2312" w:eastAsia="仿宋_GB2312" w:cs="仿宋_GB2312"/>
          <w:color w:val="auto"/>
          <w:sz w:val="32"/>
          <w:szCs w:val="32"/>
          <w:lang w:val="en-US" w:eastAsia="zh-CN"/>
        </w:rPr>
        <w:t>建立合作、签署协议</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sz w:val="32"/>
          <w:szCs w:val="32"/>
        </w:rPr>
        <w:t>就域外法查明、“调解+仲裁”、培训交流等内容达成合作共识。为积极响应南京市政府与广西壮族自治区商务厅、南宁市政府签署的《面向东盟深化合作框架协议》，主动与南宁仲裁委员会对接，助力服务中国—东盟自贸区建设</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b w:val="0"/>
          <w:bCs w:val="0"/>
          <w:kern w:val="2"/>
          <w:sz w:val="32"/>
          <w:szCs w:val="32"/>
          <w:lang w:val="en-US" w:eastAsia="zh-CN" w:bidi="ar"/>
        </w:rPr>
        <w:t>受邀在“2025年南宁·东盟人才交流活动月系列活动——东盟法律实务交流会”上，围绕仲裁服务涉外法治建设作主旨演讲，会议邀请了来自越南、马来西亚、老挝、泰国、印度尼西亚、缅甸等境内外仲裁机构及法律专家近150名代表出席本次活动。</w:t>
      </w:r>
    </w:p>
    <w:p w14:paraId="74E2B4D0">
      <w:pPr>
        <w:keepNext w:val="0"/>
        <w:keepLines w:val="0"/>
        <w:pageBreakBefore w:val="0"/>
        <w:kinsoku/>
        <w:wordWrap/>
        <w:overflowPunct/>
        <w:topLinePunct w:val="0"/>
        <w:autoSpaceDN/>
        <w:bidi w:val="0"/>
        <w:adjustRightIn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楷体" w:hAnsi="楷体" w:eastAsia="楷体" w:cs="楷体"/>
          <w:b w:val="0"/>
          <w:bCs w:val="0"/>
          <w:sz w:val="32"/>
          <w:szCs w:val="32"/>
          <w:lang w:val="en-US" w:eastAsia="zh-CN"/>
        </w:rPr>
        <w:t>（三）高质量建设国际航运仲裁院</w:t>
      </w:r>
      <w:r>
        <w:rPr>
          <w:rFonts w:hint="eastAsia" w:ascii="仿宋_GB2312" w:hAnsi="仿宋_GB2312" w:eastAsia="仿宋_GB2312" w:cs="仿宋_GB2312"/>
          <w:b w:val="0"/>
          <w:bCs w:val="0"/>
          <w:sz w:val="32"/>
          <w:szCs w:val="32"/>
          <w:lang w:val="en-US" w:eastAsia="zh-CN"/>
        </w:rPr>
        <w:t>。与南京海事局共同创建全国首个海事“调解+仲裁”协作机制。与海事法院持续深化海事诉讼与仲裁衔接机制，近日审结的印尼国际航运纠纷，主动与海事法院对接仲裁保全，28天快速和解。</w:t>
      </w:r>
      <w:r>
        <w:rPr>
          <w:rFonts w:hint="eastAsia" w:ascii="仿宋_GB2312" w:hAnsi="仿宋_GB2312" w:eastAsia="仿宋_GB2312" w:cs="仿宋_GB2312"/>
          <w:sz w:val="32"/>
          <w:szCs w:val="32"/>
          <w:lang w:val="en-US" w:eastAsia="zh-CN"/>
        </w:rPr>
        <w:t>聘请初北平、胡正良、花玉军等参与《海商法》修订和海事审判实践的6名首席专家和11名船舶制造行业专家组建首批海商海事专家团队，专业处理</w:t>
      </w:r>
      <w:r>
        <w:rPr>
          <w:rFonts w:hint="eastAsia" w:ascii="仿宋_GB2312" w:hAnsi="仿宋_GB2312" w:eastAsia="仿宋_GB2312" w:cs="仿宋_GB2312"/>
          <w:sz w:val="32"/>
          <w:szCs w:val="32"/>
        </w:rPr>
        <w:t>海事海商合同纠纷</w:t>
      </w:r>
      <w:r>
        <w:rPr>
          <w:rFonts w:hint="eastAsia" w:ascii="仿宋_GB2312" w:hAnsi="仿宋_GB2312" w:eastAsia="仿宋_GB2312" w:cs="仿宋_GB2312"/>
          <w:sz w:val="32"/>
          <w:szCs w:val="32"/>
          <w:lang w:eastAsia="zh-CN"/>
        </w:rPr>
        <w:t>。参与举办</w:t>
      </w:r>
      <w:r>
        <w:rPr>
          <w:rFonts w:hint="eastAsia" w:ascii="仿宋_GB2312" w:hAnsi="仿宋_GB2312" w:eastAsia="仿宋_GB2312" w:cs="仿宋_GB2312"/>
          <w:sz w:val="32"/>
          <w:szCs w:val="32"/>
          <w:lang w:val="en-US" w:eastAsia="zh-CN"/>
        </w:rPr>
        <w:t>江苏省法学会海商法学研究会年会、</w:t>
      </w:r>
      <w:r>
        <w:rPr>
          <w:rFonts w:hint="eastAsia" w:ascii="仿宋_GB2312" w:hAnsi="仿宋_GB2312" w:eastAsia="仿宋_GB2312" w:cs="仿宋_GB2312"/>
          <w:sz w:val="32"/>
          <w:szCs w:val="32"/>
          <w:lang w:eastAsia="zh-CN"/>
        </w:rPr>
        <w:t>国际航运中心发展论坛、江苏船东协会会员大会以及海事海商仲裁研讨会等活动，结合仲裁实务案例，分享南京国际航运仲裁院创新探索实践。</w:t>
      </w:r>
    </w:p>
    <w:p w14:paraId="663E70B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N/>
        <w:bidi w:val="0"/>
        <w:adjustRightInd/>
        <w:spacing w:before="0" w:beforeAutospacing="0" w:afterAutospacing="0" w:line="560" w:lineRule="exact"/>
        <w:ind w:left="0" w:right="0" w:firstLine="640" w:firstLineChars="200"/>
        <w:jc w:val="both"/>
        <w:textAlignment w:val="auto"/>
        <w:rPr>
          <w:rFonts w:hint="eastAsia"/>
          <w:sz w:val="32"/>
          <w:szCs w:val="32"/>
          <w:lang w:val="en-US" w:eastAsia="zh-CN"/>
        </w:rPr>
      </w:pPr>
      <w:r>
        <w:rPr>
          <w:rFonts w:hint="eastAsia" w:ascii="楷体" w:hAnsi="楷体" w:eastAsia="楷体" w:cs="楷体"/>
          <w:b w:val="0"/>
          <w:bCs w:val="0"/>
          <w:sz w:val="32"/>
          <w:szCs w:val="32"/>
          <w:lang w:val="en-US" w:eastAsia="zh-CN"/>
        </w:rPr>
        <w:t>（四）联合培养涉外仲裁人才。</w:t>
      </w:r>
      <w:r>
        <w:rPr>
          <w:rFonts w:hint="eastAsia" w:ascii="仿宋_GB2312" w:hAnsi="仿宋_GB2312" w:eastAsia="仿宋_GB2312" w:cs="仿宋_GB2312"/>
          <w:b w:val="0"/>
          <w:bCs w:val="0"/>
          <w:sz w:val="32"/>
          <w:szCs w:val="32"/>
          <w:lang w:val="en-US" w:eastAsia="zh-CN"/>
        </w:rPr>
        <w:t>与省内外14所知名高校法学院就涉外仲裁人才合作培养签署共建协议，启动“涉外法学教育实践基地”项目，加强与高校涉外仲裁人才培养的深度协作。与省律协、南京大学共同举办“国际商事仲裁高阶实务培训班”，邀请了来自香港与内地的15位专家学者围绕国际仲裁进行授课，吸引了近300名仲裁员、律师、法学院师生参加。</w:t>
      </w:r>
    </w:p>
    <w:p w14:paraId="67734647">
      <w:pPr>
        <w:keepNext w:val="0"/>
        <w:keepLines w:val="0"/>
        <w:pageBreakBefore w:val="0"/>
        <w:widowControl/>
        <w:kinsoku/>
        <w:wordWrap/>
        <w:overflowPunct/>
        <w:topLinePunct w:val="0"/>
        <w:autoSpaceDE/>
        <w:autoSpaceDN/>
        <w:bidi w:val="0"/>
        <w:adjustRightInd/>
        <w:spacing w:line="560" w:lineRule="exact"/>
        <w:ind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lang w:val="en-US" w:eastAsia="zh-CN"/>
        </w:rPr>
        <w:t>三</w:t>
      </w:r>
      <w:r>
        <w:rPr>
          <w:rFonts w:hint="eastAsia" w:ascii="黑体" w:hAnsi="黑体" w:eastAsia="黑体" w:cs="黑体"/>
          <w:b w:val="0"/>
          <w:bCs w:val="0"/>
          <w:sz w:val="32"/>
          <w:szCs w:val="32"/>
        </w:rPr>
        <w:t>、</w:t>
      </w:r>
      <w:r>
        <w:rPr>
          <w:rFonts w:hint="eastAsia" w:ascii="黑体" w:hAnsi="黑体" w:eastAsia="黑体" w:cs="黑体"/>
          <w:b w:val="0"/>
          <w:bCs w:val="0"/>
          <w:sz w:val="32"/>
          <w:szCs w:val="32"/>
          <w:lang w:val="en-US" w:eastAsia="zh-CN"/>
        </w:rPr>
        <w:t>以提升</w:t>
      </w:r>
      <w:r>
        <w:rPr>
          <w:rFonts w:hint="eastAsia" w:ascii="黑体" w:hAnsi="黑体" w:eastAsia="黑体" w:cs="黑体"/>
          <w:b w:val="0"/>
          <w:bCs w:val="0"/>
          <w:sz w:val="32"/>
          <w:szCs w:val="32"/>
        </w:rPr>
        <w:t>案件</w:t>
      </w:r>
      <w:r>
        <w:rPr>
          <w:rFonts w:hint="eastAsia" w:ascii="黑体" w:hAnsi="黑体" w:eastAsia="黑体" w:cs="黑体"/>
          <w:b w:val="0"/>
          <w:bCs w:val="0"/>
          <w:sz w:val="32"/>
          <w:szCs w:val="32"/>
          <w:lang w:val="en-US" w:eastAsia="zh-CN"/>
        </w:rPr>
        <w:t>质效为核</w:t>
      </w:r>
      <w:r>
        <w:rPr>
          <w:rFonts w:hint="eastAsia" w:ascii="黑体" w:hAnsi="黑体" w:eastAsia="黑体" w:cs="黑体"/>
          <w:b w:val="0"/>
          <w:bCs w:val="0"/>
          <w:sz w:val="32"/>
          <w:szCs w:val="32"/>
        </w:rPr>
        <w:t>，筑牢仲裁高质量发展公信力</w:t>
      </w:r>
    </w:p>
    <w:p w14:paraId="725FC86F">
      <w:pPr>
        <w:pStyle w:val="4"/>
        <w:keepNext w:val="0"/>
        <w:keepLines w:val="0"/>
        <w:pageBreakBefore w:val="0"/>
        <w:kinsoku/>
        <w:wordWrap/>
        <w:overflowPunct/>
        <w:topLinePunct w:val="0"/>
        <w:autoSpaceDE/>
        <w:autoSpaceDN/>
        <w:bidi w:val="0"/>
        <w:adjustRightInd/>
        <w:spacing w:line="560" w:lineRule="exact"/>
        <w:ind w:firstLine="640" w:firstLineChars="200"/>
        <w:jc w:val="both"/>
        <w:textAlignment w:val="auto"/>
        <w:rPr>
          <w:rFonts w:hint="eastAsia" w:ascii="仿宋_GB2312" w:hAnsi="仿宋_GB2312" w:eastAsia="仿宋_GB2312" w:cs="仿宋_GB2312"/>
          <w:b w:val="0"/>
          <w:bCs w:val="0"/>
          <w:sz w:val="32"/>
          <w:szCs w:val="32"/>
          <w:lang w:eastAsia="zh-CN"/>
        </w:rPr>
      </w:pPr>
      <w:r>
        <w:rPr>
          <w:rFonts w:hint="eastAsia" w:ascii="楷体" w:hAnsi="楷体" w:eastAsia="楷体" w:cs="楷体"/>
          <w:b w:val="0"/>
          <w:bCs w:val="0"/>
          <w:sz w:val="32"/>
          <w:szCs w:val="32"/>
          <w:lang w:val="en-US" w:eastAsia="zh-CN"/>
        </w:rPr>
        <w:t>（一）</w:t>
      </w:r>
      <w:r>
        <w:rPr>
          <w:rFonts w:hint="eastAsia" w:ascii="楷体" w:hAnsi="楷体" w:eastAsia="楷体" w:cs="楷体"/>
          <w:b w:val="0"/>
          <w:bCs w:val="0"/>
          <w:sz w:val="32"/>
          <w:szCs w:val="32"/>
        </w:rPr>
        <w:t>强化案件</w:t>
      </w:r>
      <w:r>
        <w:rPr>
          <w:rFonts w:hint="eastAsia" w:ascii="楷体" w:hAnsi="楷体" w:eastAsia="楷体" w:cs="楷体"/>
          <w:b w:val="0"/>
          <w:bCs w:val="0"/>
          <w:sz w:val="32"/>
          <w:szCs w:val="32"/>
          <w:lang w:val="en-US" w:eastAsia="zh-CN"/>
        </w:rPr>
        <w:t>质效</w:t>
      </w:r>
      <w:r>
        <w:rPr>
          <w:rFonts w:hint="eastAsia" w:ascii="楷体" w:hAnsi="楷体" w:eastAsia="楷体" w:cs="楷体"/>
          <w:b w:val="0"/>
          <w:bCs w:val="0"/>
          <w:sz w:val="32"/>
          <w:szCs w:val="32"/>
        </w:rPr>
        <w:t>管理。</w:t>
      </w:r>
      <w:r>
        <w:rPr>
          <w:rFonts w:hint="eastAsia" w:ascii="仿宋_GB2312" w:hAnsi="仿宋_GB2312" w:eastAsia="仿宋_GB2312" w:cs="仿宋_GB2312"/>
          <w:b w:val="0"/>
          <w:bCs w:val="0"/>
          <w:sz w:val="32"/>
          <w:szCs w:val="32"/>
        </w:rPr>
        <w:t>完善仲裁员智能推荐系统，以公</w:t>
      </w:r>
      <w:r>
        <w:rPr>
          <w:rFonts w:hint="eastAsia" w:ascii="仿宋_GB2312" w:hAnsi="仿宋_GB2312" w:eastAsia="仿宋_GB2312" w:cs="仿宋_GB2312"/>
          <w:b w:val="0"/>
          <w:bCs w:val="0"/>
          <w:sz w:val="32"/>
          <w:szCs w:val="32"/>
          <w:lang w:val="en-US" w:eastAsia="zh-CN"/>
        </w:rPr>
        <w:t>平、</w:t>
      </w:r>
      <w:r>
        <w:rPr>
          <w:rFonts w:hint="eastAsia" w:ascii="仿宋_GB2312" w:hAnsi="仿宋_GB2312" w:eastAsia="仿宋_GB2312" w:cs="仿宋_GB2312"/>
          <w:b w:val="0"/>
          <w:bCs w:val="0"/>
          <w:sz w:val="32"/>
          <w:szCs w:val="32"/>
        </w:rPr>
        <w:t>科学</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阳光为原则，进一步完善仲裁员指定细则</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从源头减少风险发生。每月定期召开业务分析会，分析相关业务数据</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指出文书核阅、案件推进中存在的问题，</w:t>
      </w:r>
      <w:r>
        <w:rPr>
          <w:rFonts w:hint="eastAsia" w:ascii="仿宋_GB2312" w:hAnsi="仿宋_GB2312" w:eastAsia="仿宋_GB2312" w:cs="仿宋_GB2312"/>
          <w:b w:val="0"/>
          <w:bCs w:val="0"/>
          <w:sz w:val="32"/>
          <w:szCs w:val="32"/>
          <w:lang w:val="en-US" w:eastAsia="zh-CN"/>
        </w:rPr>
        <w:t>对于积案“一案一析”，</w:t>
      </w:r>
      <w:r>
        <w:rPr>
          <w:rFonts w:hint="eastAsia" w:ascii="仿宋_GB2312" w:hAnsi="仿宋_GB2312" w:eastAsia="仿宋_GB2312" w:cs="仿宋_GB2312"/>
          <w:b w:val="0"/>
          <w:bCs w:val="0"/>
          <w:sz w:val="32"/>
          <w:szCs w:val="32"/>
        </w:rPr>
        <w:t>案件质效显著提升</w:t>
      </w:r>
      <w:r>
        <w:rPr>
          <w:rFonts w:hint="eastAsia" w:ascii="仿宋_GB2312" w:hAnsi="仿宋_GB2312" w:eastAsia="仿宋_GB2312" w:cs="仿宋_GB2312"/>
          <w:b w:val="0"/>
          <w:bCs w:val="0"/>
          <w:sz w:val="32"/>
          <w:szCs w:val="32"/>
          <w:lang w:eastAsia="zh-CN"/>
        </w:rPr>
        <w:t>。</w:t>
      </w:r>
    </w:p>
    <w:p w14:paraId="094387C2">
      <w:pPr>
        <w:pStyle w:val="4"/>
        <w:keepNext w:val="0"/>
        <w:keepLines w:val="0"/>
        <w:pageBreakBefore w:val="0"/>
        <w:kinsoku/>
        <w:wordWrap/>
        <w:overflowPunct/>
        <w:topLinePunct w:val="0"/>
        <w:autoSpaceDE/>
        <w:autoSpaceDN/>
        <w:bidi w:val="0"/>
        <w:adjustRightInd/>
        <w:spacing w:line="560" w:lineRule="exact"/>
        <w:ind w:firstLine="640" w:firstLineChars="200"/>
        <w:jc w:val="both"/>
        <w:textAlignment w:val="auto"/>
        <w:rPr>
          <w:rFonts w:hint="eastAsia" w:ascii="仿宋_GB2312" w:hAnsi="仿宋_GB2312" w:eastAsia="仿宋_GB2312" w:cs="仿宋_GB2312"/>
          <w:b w:val="0"/>
          <w:bCs w:val="0"/>
          <w:sz w:val="32"/>
          <w:szCs w:val="32"/>
        </w:rPr>
      </w:pPr>
      <w:r>
        <w:rPr>
          <w:rFonts w:hint="eastAsia" w:ascii="楷体" w:hAnsi="楷体" w:eastAsia="楷体" w:cs="楷体"/>
          <w:b w:val="0"/>
          <w:bCs w:val="0"/>
          <w:sz w:val="32"/>
          <w:szCs w:val="32"/>
          <w:lang w:val="en-US" w:eastAsia="zh-CN"/>
        </w:rPr>
        <w:t>（二）完善</w:t>
      </w:r>
      <w:r>
        <w:rPr>
          <w:rFonts w:hint="eastAsia" w:ascii="楷体" w:hAnsi="楷体" w:eastAsia="楷体" w:cs="楷体"/>
          <w:b w:val="0"/>
          <w:bCs w:val="0"/>
          <w:sz w:val="32"/>
          <w:szCs w:val="32"/>
        </w:rPr>
        <w:t>廉政风险防范。</w:t>
      </w:r>
      <w:r>
        <w:rPr>
          <w:rFonts w:hint="eastAsia" w:ascii="仿宋_GB2312" w:hAnsi="Times New Roman" w:eastAsia="仿宋_GB2312" w:cs="仿宋_GB2312"/>
          <w:bCs/>
          <w:kern w:val="2"/>
          <w:sz w:val="32"/>
          <w:szCs w:val="32"/>
          <w:shd w:val="clear" w:color="auto" w:fill="FFFFFF"/>
          <w:lang w:val="en-US" w:eastAsia="zh-CN" w:bidi="ar"/>
        </w:rPr>
        <w:t>加强仲裁队伍“全方位”监督，结合巡察，落实安全保密和意识形态工作责任制，制定仲裁员和秘书保密规定，要求每案签名留存；梳理行政、业务领域风险漏洞，结合工作实际，制定修订仲裁员指定办法、文书起草核阅办法、信访管理办法等一系列管理规定；今年，收集印发近年来仲裁领域违法违纪典型案例，组织全办同志及仲裁员进行学习，对反面案例学习警醒。</w:t>
      </w:r>
      <w:r>
        <w:rPr>
          <w:rFonts w:hint="eastAsia" w:ascii="仿宋_GB2312" w:hAnsi="仿宋_GB2312" w:eastAsia="仿宋_GB2312" w:cs="仿宋_GB2312"/>
          <w:b w:val="0"/>
          <w:bCs w:val="0"/>
          <w:sz w:val="32"/>
          <w:szCs w:val="32"/>
          <w:lang w:val="en-US" w:eastAsia="zh-CN"/>
        </w:rPr>
        <w:t>全年</w:t>
      </w:r>
      <w:r>
        <w:rPr>
          <w:rFonts w:hint="eastAsia" w:ascii="仿宋_GB2312" w:hAnsi="仿宋_GB2312" w:eastAsia="仿宋_GB2312" w:cs="仿宋_GB2312"/>
          <w:b w:val="0"/>
          <w:bCs w:val="0"/>
          <w:sz w:val="32"/>
          <w:szCs w:val="32"/>
        </w:rPr>
        <w:t>无一起仲裁裁决被法院撤销或通知重审。</w:t>
      </w:r>
    </w:p>
    <w:p w14:paraId="25B47E28">
      <w:pPr>
        <w:kinsoku/>
        <w:autoSpaceDE/>
        <w:autoSpaceDN/>
        <w:adjustRightInd/>
        <w:snapToGrid/>
        <w:spacing w:line="560" w:lineRule="exact"/>
        <w:ind w:firstLine="640" w:firstLineChars="200"/>
        <w:contextualSpacing/>
        <w:jc w:val="both"/>
        <w:textAlignment w:val="auto"/>
        <w:rPr>
          <w:rFonts w:hint="eastAsia" w:ascii="仿宋_GB2312" w:hAnsi="仿宋_GB2312" w:eastAsia="仿宋_GB2312" w:cs="仿宋_GB2312"/>
          <w:kern w:val="2"/>
          <w:sz w:val="32"/>
          <w:szCs w:val="32"/>
          <w:lang w:val="en-US" w:eastAsia="zh-CN"/>
        </w:rPr>
      </w:pPr>
      <w:r>
        <w:rPr>
          <w:rFonts w:hint="eastAsia" w:ascii="楷体" w:hAnsi="楷体" w:eastAsia="楷体" w:cs="楷体"/>
          <w:b w:val="0"/>
          <w:bCs w:val="0"/>
          <w:sz w:val="32"/>
          <w:szCs w:val="32"/>
          <w:lang w:val="en-US" w:eastAsia="zh-CN"/>
        </w:rPr>
        <w:t>（三）</w:t>
      </w:r>
      <w:r>
        <w:rPr>
          <w:rFonts w:hint="eastAsia" w:ascii="楷体" w:hAnsi="楷体" w:eastAsia="楷体" w:cs="楷体"/>
          <w:b w:val="0"/>
          <w:bCs w:val="0"/>
          <w:sz w:val="32"/>
          <w:szCs w:val="32"/>
        </w:rPr>
        <w:t>加强仲裁</w:t>
      </w:r>
      <w:r>
        <w:rPr>
          <w:rFonts w:hint="eastAsia" w:ascii="楷体" w:hAnsi="楷体" w:eastAsia="楷体" w:cs="楷体"/>
          <w:b w:val="0"/>
          <w:bCs w:val="0"/>
          <w:sz w:val="32"/>
          <w:szCs w:val="32"/>
          <w:lang w:val="en-US" w:eastAsia="zh-CN"/>
        </w:rPr>
        <w:t>队伍管理与</w:t>
      </w:r>
      <w:r>
        <w:rPr>
          <w:rFonts w:hint="eastAsia" w:ascii="楷体" w:hAnsi="楷体" w:eastAsia="楷体" w:cs="楷体"/>
          <w:b w:val="0"/>
          <w:bCs w:val="0"/>
          <w:sz w:val="32"/>
          <w:szCs w:val="32"/>
        </w:rPr>
        <w:t>培训。</w:t>
      </w:r>
      <w:r>
        <w:rPr>
          <w:rFonts w:hint="eastAsia" w:ascii="仿宋_GB2312" w:hAnsi="仿宋_GB2312" w:eastAsia="仿宋_GB2312" w:cs="仿宋_GB2312"/>
          <w:sz w:val="32"/>
          <w:szCs w:val="32"/>
          <w:lang w:val="en-US" w:eastAsia="zh-CN"/>
        </w:rPr>
        <w:t>举办</w:t>
      </w:r>
      <w:r>
        <w:rPr>
          <w:rFonts w:hint="eastAsia" w:ascii="仿宋_GB2312" w:hAnsi="仿宋_GB2312" w:eastAsia="仿宋_GB2312" w:cs="仿宋_GB2312"/>
          <w:sz w:val="32"/>
          <w:szCs w:val="32"/>
        </w:rPr>
        <w:t>仲裁员座谈会</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邀请</w:t>
      </w:r>
      <w:r>
        <w:rPr>
          <w:rFonts w:hint="eastAsia" w:ascii="仿宋_GB2312" w:hAnsi="仿宋_GB2312" w:eastAsia="仿宋_GB2312" w:cs="仿宋_GB2312"/>
          <w:sz w:val="32"/>
          <w:szCs w:val="32"/>
          <w:lang w:val="en-US" w:eastAsia="zh-CN"/>
        </w:rPr>
        <w:t>各职业</w:t>
      </w:r>
      <w:r>
        <w:rPr>
          <w:rFonts w:hint="eastAsia" w:ascii="仿宋_GB2312" w:hAnsi="仿宋_GB2312" w:eastAsia="仿宋_GB2312" w:cs="仿宋_GB2312"/>
          <w:sz w:val="32"/>
          <w:szCs w:val="32"/>
        </w:rPr>
        <w:t>仲裁员代表</w:t>
      </w:r>
      <w:r>
        <w:rPr>
          <w:rFonts w:hint="eastAsia" w:ascii="仿宋_GB2312" w:hAnsi="仿宋_GB2312" w:eastAsia="仿宋_GB2312" w:cs="仿宋_GB2312"/>
          <w:sz w:val="32"/>
          <w:szCs w:val="32"/>
          <w:lang w:val="en-US" w:eastAsia="zh-CN"/>
        </w:rPr>
        <w:t>交流</w:t>
      </w:r>
      <w:r>
        <w:rPr>
          <w:rFonts w:hint="eastAsia" w:ascii="仿宋_GB2312" w:hAnsi="仿宋_GB2312" w:eastAsia="仿宋_GB2312" w:cs="仿宋_GB2312"/>
          <w:sz w:val="32"/>
          <w:szCs w:val="32"/>
          <w:lang w:eastAsia="zh-CN"/>
        </w:rPr>
        <w:t>工作实践和办案心得，</w:t>
      </w:r>
      <w:r>
        <w:rPr>
          <w:rFonts w:hint="eastAsia" w:ascii="仿宋_GB2312" w:hAnsi="仿宋_GB2312" w:eastAsia="仿宋_GB2312" w:cs="仿宋_GB2312"/>
          <w:sz w:val="32"/>
          <w:szCs w:val="32"/>
          <w:lang w:val="en-US" w:eastAsia="zh-CN"/>
        </w:rPr>
        <w:t>为</w:t>
      </w:r>
      <w:r>
        <w:rPr>
          <w:rFonts w:hint="eastAsia" w:ascii="仿宋_GB2312" w:hAnsi="仿宋_GB2312" w:eastAsia="仿宋_GB2312" w:cs="仿宋_GB2312"/>
          <w:sz w:val="32"/>
          <w:szCs w:val="32"/>
          <w:lang w:eastAsia="zh-CN"/>
        </w:rPr>
        <w:t>仲裁</w:t>
      </w:r>
      <w:r>
        <w:rPr>
          <w:rFonts w:hint="eastAsia" w:ascii="仿宋_GB2312" w:hAnsi="仿宋_GB2312" w:eastAsia="仿宋_GB2312" w:cs="仿宋_GB2312"/>
          <w:sz w:val="32"/>
          <w:szCs w:val="32"/>
          <w:lang w:val="en-US" w:eastAsia="zh-CN"/>
        </w:rPr>
        <w:t>发展提供意见建议</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每月</w:t>
      </w:r>
      <w:r>
        <w:rPr>
          <w:rFonts w:hint="eastAsia" w:ascii="仿宋_GB2312" w:hAnsi="仿宋_GB2312" w:eastAsia="仿宋_GB2312" w:cs="仿宋_GB2312"/>
          <w:sz w:val="32"/>
          <w:szCs w:val="32"/>
        </w:rPr>
        <w:t>举办仲裁秘书业务</w:t>
      </w:r>
      <w:r>
        <w:rPr>
          <w:rFonts w:hint="eastAsia" w:ascii="仿宋_GB2312" w:hAnsi="仿宋_GB2312" w:eastAsia="仿宋_GB2312" w:cs="仿宋_GB2312"/>
          <w:sz w:val="32"/>
          <w:szCs w:val="32"/>
          <w:lang w:val="en-US" w:eastAsia="zh-CN"/>
        </w:rPr>
        <w:t>学习会</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学习新版仲裁规则和新法律法规，研讨仲裁程序高效推进的新方法新举措</w:t>
      </w:r>
      <w:r>
        <w:rPr>
          <w:rFonts w:hint="eastAsia" w:ascii="仿宋_GB2312" w:hAnsi="仿宋_GB2312" w:eastAsia="仿宋_GB2312" w:cs="仿宋_GB2312"/>
          <w:sz w:val="32"/>
          <w:szCs w:val="32"/>
        </w:rPr>
        <w:t>。制定印发《秘书分类管理考评办法（试行）》，细化岗位职责，全面综合评分，强化绩效考核结果运用，激励干部担当作为。</w:t>
      </w:r>
    </w:p>
    <w:p w14:paraId="62CBBAB7">
      <w:pPr>
        <w:widowControl w:val="0"/>
        <w:autoSpaceDE/>
        <w:autoSpaceDN/>
        <w:spacing w:line="560" w:lineRule="exact"/>
        <w:ind w:firstLine="651" w:firstLineChars="200"/>
        <w:textAlignment w:val="auto"/>
        <w:outlineLvl w:val="0"/>
        <w:rPr>
          <w:rFonts w:ascii="黑体" w:hAnsi="黑体" w:eastAsia="黑体" w:cs="黑体"/>
          <w:b/>
          <w:bCs/>
          <w:spacing w:val="2"/>
          <w:sz w:val="32"/>
          <w:szCs w:val="32"/>
          <w:lang w:eastAsia="zh-CN"/>
        </w:rPr>
      </w:pPr>
      <w:r>
        <w:rPr>
          <w:rFonts w:ascii="黑体" w:hAnsi="黑体" w:eastAsia="黑体" w:cs="黑体"/>
          <w:b/>
          <w:bCs/>
          <w:spacing w:val="2"/>
          <w:sz w:val="32"/>
          <w:szCs w:val="32"/>
          <w:lang w:eastAsia="zh-CN"/>
        </w:rPr>
        <w:t>四、存在问题及原因分析</w:t>
      </w:r>
    </w:p>
    <w:p w14:paraId="5D76C4B6">
      <w:pPr>
        <w:kinsoku/>
        <w:autoSpaceDE/>
        <w:autoSpaceDN/>
        <w:adjustRightInd/>
        <w:snapToGrid/>
        <w:spacing w:line="560" w:lineRule="exact"/>
        <w:ind w:firstLine="651" w:firstLineChars="200"/>
        <w:contextualSpacing/>
        <w:jc w:val="both"/>
        <w:textAlignment w:val="auto"/>
        <w:rPr>
          <w:rFonts w:hint="eastAsia" w:ascii="仿宋_GB2312" w:hAnsi="仿宋_GB2312" w:eastAsia="仿宋_GB2312" w:cs="仿宋_GB2312"/>
          <w:b w:val="0"/>
          <w:bCs w:val="0"/>
          <w:spacing w:val="2"/>
          <w:sz w:val="32"/>
          <w:szCs w:val="32"/>
          <w:lang w:eastAsia="zh-CN"/>
        </w:rPr>
      </w:pPr>
      <w:r>
        <w:rPr>
          <w:rFonts w:hint="eastAsia" w:ascii="楷体" w:hAnsi="楷体" w:eastAsia="楷体" w:cs="楷体"/>
          <w:b/>
          <w:bCs/>
          <w:spacing w:val="2"/>
          <w:sz w:val="32"/>
          <w:szCs w:val="32"/>
          <w:lang w:eastAsia="zh-CN"/>
        </w:rPr>
        <w:t>（一）内控制度不完善。</w:t>
      </w:r>
      <w:r>
        <w:rPr>
          <w:rFonts w:hint="eastAsia" w:ascii="仿宋_GB2312" w:hAnsi="仿宋_GB2312" w:eastAsia="仿宋_GB2312" w:cs="仿宋_GB2312"/>
          <w:b w:val="0"/>
          <w:bCs w:val="0"/>
          <w:spacing w:val="2"/>
          <w:sz w:val="32"/>
          <w:szCs w:val="32"/>
          <w:lang w:eastAsia="zh-CN"/>
        </w:rPr>
        <w:t>一是未制定内部采购管理制度。二是政府采购预算执行率偏低。主要原因一是部门政府采购资金较少。二是为落实过“过紧日子”要求，减少纸质材料打印，导致打印耗材采购减少。</w:t>
      </w:r>
    </w:p>
    <w:p w14:paraId="3BAB5E9A">
      <w:pPr>
        <w:kinsoku/>
        <w:autoSpaceDE/>
        <w:autoSpaceDN/>
        <w:adjustRightInd/>
        <w:snapToGrid/>
        <w:spacing w:line="560" w:lineRule="exact"/>
        <w:ind w:firstLine="651" w:firstLineChars="200"/>
        <w:contextualSpacing/>
        <w:jc w:val="both"/>
        <w:textAlignment w:val="auto"/>
        <w:rPr>
          <w:rFonts w:hint="eastAsia" w:ascii="仿宋_GB2312" w:hAnsi="仿宋_GB2312" w:eastAsia="仿宋_GB2312" w:cs="仿宋_GB2312"/>
          <w:b w:val="0"/>
          <w:bCs w:val="0"/>
          <w:spacing w:val="2"/>
          <w:sz w:val="32"/>
          <w:szCs w:val="32"/>
          <w:lang w:eastAsia="zh-CN"/>
        </w:rPr>
      </w:pPr>
      <w:r>
        <w:rPr>
          <w:rFonts w:hint="eastAsia" w:ascii="楷体" w:hAnsi="楷体" w:eastAsia="楷体" w:cs="楷体"/>
          <w:b/>
          <w:bCs/>
          <w:spacing w:val="2"/>
          <w:sz w:val="32"/>
          <w:szCs w:val="32"/>
          <w:lang w:eastAsia="zh-CN"/>
        </w:rPr>
        <w:t>（二）年度未进行资产盘点。</w:t>
      </w:r>
      <w:r>
        <w:rPr>
          <w:rFonts w:hint="eastAsia" w:ascii="仿宋_GB2312" w:hAnsi="仿宋_GB2312" w:eastAsia="仿宋_GB2312" w:cs="仿宋_GB2312"/>
          <w:b w:val="0"/>
          <w:bCs w:val="0"/>
          <w:spacing w:val="2"/>
          <w:sz w:val="32"/>
          <w:szCs w:val="32"/>
          <w:lang w:eastAsia="zh-CN"/>
        </w:rPr>
        <w:t>主要原因为资产大部分为家具、信息化设备等固定不易移动资产，本年度未购置新资产。</w:t>
      </w:r>
    </w:p>
    <w:p w14:paraId="58A55CFA">
      <w:pPr>
        <w:kinsoku/>
        <w:autoSpaceDE/>
        <w:autoSpaceDN/>
        <w:adjustRightInd/>
        <w:snapToGrid/>
        <w:spacing w:line="560" w:lineRule="exact"/>
        <w:ind w:firstLine="651" w:firstLineChars="200"/>
        <w:contextualSpacing/>
        <w:jc w:val="both"/>
        <w:textAlignment w:val="auto"/>
        <w:rPr>
          <w:rFonts w:hint="eastAsia" w:ascii="仿宋_GB2312" w:hAnsi="仿宋_GB2312" w:eastAsia="仿宋_GB2312" w:cs="仿宋_GB2312"/>
          <w:b w:val="0"/>
          <w:bCs w:val="0"/>
          <w:spacing w:val="2"/>
          <w:sz w:val="32"/>
          <w:szCs w:val="32"/>
          <w:lang w:eastAsia="zh-CN"/>
        </w:rPr>
      </w:pPr>
      <w:r>
        <w:rPr>
          <w:rFonts w:hint="eastAsia" w:ascii="楷体" w:hAnsi="楷体" w:eastAsia="楷体" w:cs="楷体"/>
          <w:b/>
          <w:bCs/>
          <w:spacing w:val="2"/>
          <w:sz w:val="32"/>
          <w:szCs w:val="32"/>
          <w:lang w:eastAsia="zh-CN"/>
        </w:rPr>
        <w:t>（三）服务对象满意度偏低。</w:t>
      </w:r>
      <w:r>
        <w:rPr>
          <w:rFonts w:hint="eastAsia" w:ascii="仿宋_GB2312" w:hAnsi="仿宋_GB2312" w:eastAsia="仿宋_GB2312" w:cs="仿宋_GB2312"/>
          <w:b w:val="0"/>
          <w:bCs w:val="0"/>
          <w:spacing w:val="2"/>
          <w:sz w:val="32"/>
          <w:szCs w:val="32"/>
          <w:lang w:eastAsia="zh-CN"/>
        </w:rPr>
        <w:t>主要原因为案多人少，人员超负荷办理案件，导致服务质量降低。</w:t>
      </w:r>
    </w:p>
    <w:p w14:paraId="11C4BF92">
      <w:pPr>
        <w:keepNext w:val="0"/>
        <w:keepLines w:val="0"/>
        <w:pageBreakBefore w:val="0"/>
        <w:widowControl w:val="0"/>
        <w:wordWrap/>
        <w:overflowPunct/>
        <w:topLinePunct w:val="0"/>
        <w:autoSpaceDE/>
        <w:autoSpaceDN/>
        <w:bidi w:val="0"/>
        <w:spacing w:line="560" w:lineRule="exact"/>
        <w:ind w:left="0" w:firstLine="651" w:firstLineChars="200"/>
        <w:textAlignment w:val="auto"/>
        <w:outlineLvl w:val="0"/>
        <w:rPr>
          <w:rFonts w:ascii="黑体" w:hAnsi="黑体" w:eastAsia="黑体" w:cs="黑体"/>
          <w:b/>
          <w:bCs/>
          <w:spacing w:val="2"/>
          <w:sz w:val="32"/>
          <w:szCs w:val="32"/>
          <w:lang w:eastAsia="zh-CN"/>
        </w:rPr>
      </w:pPr>
      <w:r>
        <w:rPr>
          <w:rFonts w:ascii="黑体" w:hAnsi="黑体" w:eastAsia="黑体" w:cs="黑体"/>
          <w:b/>
          <w:bCs/>
          <w:spacing w:val="2"/>
          <w:sz w:val="32"/>
          <w:szCs w:val="32"/>
          <w:lang w:eastAsia="zh-CN"/>
        </w:rPr>
        <w:t>五、有关建议</w:t>
      </w:r>
    </w:p>
    <w:p w14:paraId="295237A2">
      <w:pPr>
        <w:keepNext w:val="0"/>
        <w:keepLines w:val="0"/>
        <w:pageBreakBefore w:val="0"/>
        <w:widowControl w:val="0"/>
        <w:wordWrap/>
        <w:overflowPunct/>
        <w:topLinePunct w:val="0"/>
        <w:autoSpaceDE/>
        <w:autoSpaceDN/>
        <w:bidi w:val="0"/>
        <w:spacing w:line="560" w:lineRule="exact"/>
        <w:ind w:left="0" w:firstLine="640" w:firstLineChars="200"/>
        <w:textAlignment w:val="auto"/>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（一）制定内部采购管理制度，精准编制政府采购预算。</w:t>
      </w:r>
    </w:p>
    <w:p w14:paraId="6592E4B7">
      <w:pPr>
        <w:kinsoku/>
        <w:autoSpaceDE/>
        <w:autoSpaceDN/>
        <w:adjustRightInd/>
        <w:snapToGrid/>
        <w:spacing w:line="560" w:lineRule="exact"/>
        <w:ind w:firstLine="640" w:firstLineChars="200"/>
        <w:contextualSpacing/>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（二）落实资产管理制度，每年进行资产盘点。</w:t>
      </w:r>
    </w:p>
    <w:p w14:paraId="327DB6AC">
      <w:pPr>
        <w:kinsoku/>
        <w:autoSpaceDE/>
        <w:autoSpaceDN/>
        <w:adjustRightInd/>
        <w:snapToGrid/>
        <w:spacing w:line="560" w:lineRule="exact"/>
        <w:ind w:firstLine="640" w:firstLineChars="200"/>
        <w:contextualSpacing/>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w:t>
      </w:r>
      <w:r>
        <w:rPr>
          <w:rFonts w:hint="eastAsia" w:ascii="仿宋_GB2312" w:hAnsi="仿宋_GB2312" w:eastAsia="仿宋_GB2312" w:cs="仿宋_GB2312"/>
          <w:kern w:val="2"/>
          <w:sz w:val="32"/>
          <w:szCs w:val="32"/>
          <w:highlight w:val="none"/>
          <w:lang w:eastAsia="zh-CN"/>
        </w:rPr>
        <w:t>提高案件办理质效，改善服务对象满意度。</w:t>
      </w:r>
    </w:p>
    <w:p w14:paraId="30C689BD">
      <w:pPr>
        <w:widowControl w:val="0"/>
        <w:autoSpaceDE/>
        <w:autoSpaceDN/>
        <w:spacing w:line="560" w:lineRule="exact"/>
        <w:ind w:firstLine="651" w:firstLineChars="200"/>
        <w:textAlignment w:val="auto"/>
        <w:outlineLvl w:val="0"/>
        <w:rPr>
          <w:rFonts w:ascii="黑体" w:hAnsi="黑体" w:eastAsia="黑体" w:cs="黑体"/>
          <w:b/>
          <w:bCs/>
          <w:spacing w:val="2"/>
          <w:sz w:val="32"/>
          <w:szCs w:val="32"/>
          <w:lang w:eastAsia="zh-CN"/>
        </w:rPr>
      </w:pPr>
      <w:r>
        <w:rPr>
          <w:rFonts w:ascii="黑体" w:hAnsi="黑体" w:eastAsia="黑体" w:cs="黑体"/>
          <w:b/>
          <w:bCs/>
          <w:spacing w:val="2"/>
          <w:sz w:val="32"/>
          <w:szCs w:val="32"/>
          <w:lang w:eastAsia="zh-CN"/>
        </w:rPr>
        <w:t>六、评价工作开展情况及其他需说明的情况</w:t>
      </w:r>
    </w:p>
    <w:p w14:paraId="2FA331A5">
      <w:pPr>
        <w:kinsoku/>
        <w:autoSpaceDE/>
        <w:autoSpaceDN/>
        <w:adjustRightInd/>
        <w:snapToGrid/>
        <w:spacing w:line="560" w:lineRule="exact"/>
        <w:ind w:firstLine="651" w:firstLineChars="200"/>
        <w:contextualSpacing/>
        <w:jc w:val="both"/>
        <w:textAlignment w:val="auto"/>
        <w:rPr>
          <w:rFonts w:ascii="楷体" w:hAnsi="楷体" w:eastAsia="楷体" w:cs="楷体"/>
          <w:b/>
          <w:bCs/>
          <w:spacing w:val="2"/>
          <w:sz w:val="32"/>
          <w:szCs w:val="32"/>
          <w:lang w:eastAsia="zh-CN"/>
        </w:rPr>
      </w:pPr>
      <w:r>
        <w:rPr>
          <w:rFonts w:hint="eastAsia" w:ascii="楷体" w:hAnsi="楷体" w:eastAsia="楷体" w:cs="楷体"/>
          <w:b/>
          <w:bCs/>
          <w:spacing w:val="2"/>
          <w:sz w:val="32"/>
          <w:szCs w:val="32"/>
          <w:lang w:eastAsia="zh-CN"/>
        </w:rPr>
        <w:t>（一）评价思路及方法</w:t>
      </w:r>
    </w:p>
    <w:p w14:paraId="7E364031">
      <w:pPr>
        <w:kinsoku/>
        <w:autoSpaceDE/>
        <w:autoSpaceDN/>
        <w:adjustRightInd/>
        <w:snapToGrid/>
        <w:spacing w:line="560" w:lineRule="exact"/>
        <w:ind w:firstLine="640" w:firstLineChars="200"/>
        <w:contextualSpacing/>
        <w:jc w:val="both"/>
        <w:textAlignment w:val="auto"/>
        <w:rPr>
          <w:rFonts w:hint="eastAsia" w:ascii="仿宋_GB2312" w:hAnsi="仿宋_GB2312" w:eastAsia="仿宋_GB2312" w:cs="仿宋_GB2312"/>
          <w:kern w:val="2"/>
          <w:sz w:val="32"/>
          <w:szCs w:val="32"/>
          <w:lang w:eastAsia="zh-CN"/>
        </w:rPr>
      </w:pPr>
      <w:r>
        <w:rPr>
          <w:rFonts w:hint="eastAsia" w:ascii="仿宋_GB2312" w:hAnsi="仿宋_GB2312" w:eastAsia="仿宋_GB2312" w:cs="仿宋_GB2312"/>
          <w:kern w:val="2"/>
          <w:sz w:val="32"/>
          <w:szCs w:val="32"/>
          <w:lang w:eastAsia="zh-CN"/>
        </w:rPr>
        <w:t>坚持“目标导向、问题导向、结果导向”相结合，以南京仲裁委员会办公室年度履职目标、预算申报绩效目标为基础，围绕决策、过程、履职、效益、满意度五个维度开展评价。重点核查预算资金配置合理性、项目实施管理规范性、绩效目标完成程度，客观分析履职成效，查找管理短板与存在问题，推动绩效评价结果与预算编制、内部管理改进挂钩，实现“花钱必问效、无效必问责”，促进部门履职能力和财政资金使用效益双提升。</w:t>
      </w:r>
    </w:p>
    <w:p w14:paraId="2E1EB9BF">
      <w:pPr>
        <w:kinsoku/>
        <w:autoSpaceDE/>
        <w:autoSpaceDN/>
        <w:adjustRightInd/>
        <w:snapToGrid/>
        <w:spacing w:line="560" w:lineRule="exact"/>
        <w:ind w:firstLine="640" w:firstLineChars="200"/>
        <w:contextualSpacing/>
        <w:jc w:val="both"/>
        <w:textAlignment w:val="auto"/>
        <w:rPr>
          <w:rFonts w:hint="eastAsia" w:ascii="仿宋_GB2312" w:hAnsi="仿宋_GB2312" w:eastAsia="仿宋_GB2312" w:cs="仿宋_GB2312"/>
          <w:kern w:val="2"/>
          <w:sz w:val="32"/>
          <w:szCs w:val="32"/>
          <w:lang w:eastAsia="zh-CN"/>
        </w:rPr>
      </w:pPr>
      <w:r>
        <w:rPr>
          <w:rFonts w:hint="eastAsia" w:ascii="仿宋_GB2312" w:hAnsi="仿宋_GB2312" w:eastAsia="仿宋_GB2312" w:cs="仿宋_GB2312"/>
          <w:kern w:val="2"/>
          <w:sz w:val="32"/>
          <w:szCs w:val="32"/>
          <w:lang w:eastAsia="zh-CN"/>
        </w:rPr>
        <w:t>采用资料核查法、现场核查法、访谈座谈法、比较分析法、问卷调查法进行评价。</w:t>
      </w:r>
    </w:p>
    <w:p w14:paraId="3A65DFD0">
      <w:pPr>
        <w:kinsoku/>
        <w:autoSpaceDE/>
        <w:autoSpaceDN/>
        <w:adjustRightInd/>
        <w:snapToGrid/>
        <w:spacing w:line="560" w:lineRule="exact"/>
        <w:ind w:firstLine="640" w:firstLineChars="200"/>
        <w:contextualSpacing/>
        <w:jc w:val="both"/>
        <w:textAlignment w:val="auto"/>
        <w:rPr>
          <w:rFonts w:hint="eastAsia" w:ascii="仿宋_GB2312" w:hAnsi="仿宋_GB2312" w:eastAsia="仿宋_GB2312" w:cs="仿宋_GB2312"/>
          <w:kern w:val="2"/>
          <w:sz w:val="32"/>
          <w:szCs w:val="32"/>
          <w:lang w:eastAsia="zh-CN"/>
        </w:rPr>
      </w:pPr>
      <w:r>
        <w:rPr>
          <w:rFonts w:hint="eastAsia" w:ascii="仿宋_GB2312" w:hAnsi="仿宋_GB2312" w:eastAsia="仿宋_GB2312" w:cs="仿宋_GB2312"/>
          <w:kern w:val="2"/>
          <w:sz w:val="32"/>
          <w:szCs w:val="32"/>
          <w:lang w:eastAsia="zh-CN"/>
        </w:rPr>
        <w:t>1、资料核查法：收集审阅单位预算文件、绩效申报表、财务凭证、项目台账、工作总结、制度文件等书面资料，核对资金拨付、支出执行、目标落实情况。</w:t>
      </w:r>
    </w:p>
    <w:p w14:paraId="76757A2D">
      <w:pPr>
        <w:kinsoku/>
        <w:autoSpaceDE/>
        <w:autoSpaceDN/>
        <w:adjustRightInd/>
        <w:snapToGrid/>
        <w:spacing w:line="560" w:lineRule="exact"/>
        <w:ind w:firstLine="640" w:firstLineChars="200"/>
        <w:contextualSpacing/>
        <w:jc w:val="both"/>
        <w:textAlignment w:val="auto"/>
        <w:rPr>
          <w:rFonts w:hint="eastAsia" w:ascii="仿宋_GB2312" w:hAnsi="仿宋_GB2312" w:eastAsia="仿宋_GB2312" w:cs="仿宋_GB2312"/>
          <w:kern w:val="2"/>
          <w:sz w:val="32"/>
          <w:szCs w:val="32"/>
          <w:lang w:eastAsia="zh-CN"/>
        </w:rPr>
      </w:pPr>
      <w:r>
        <w:rPr>
          <w:rFonts w:hint="eastAsia" w:ascii="仿宋_GB2312" w:hAnsi="仿宋_GB2312" w:eastAsia="仿宋_GB2312" w:cs="仿宋_GB2312"/>
          <w:kern w:val="2"/>
          <w:sz w:val="32"/>
          <w:szCs w:val="32"/>
          <w:lang w:eastAsia="zh-CN"/>
        </w:rPr>
        <w:t>2、现场核查法：实地查看各内设机构业务开展实际情况，印证书面资料真实性。</w:t>
      </w:r>
    </w:p>
    <w:p w14:paraId="32D2406B">
      <w:pPr>
        <w:kinsoku/>
        <w:autoSpaceDE/>
        <w:autoSpaceDN/>
        <w:adjustRightInd/>
        <w:snapToGrid/>
        <w:spacing w:line="560" w:lineRule="exact"/>
        <w:ind w:firstLine="640" w:firstLineChars="200"/>
        <w:contextualSpacing/>
        <w:jc w:val="both"/>
        <w:textAlignment w:val="auto"/>
        <w:rPr>
          <w:rFonts w:hint="eastAsia" w:ascii="仿宋_GB2312" w:hAnsi="仿宋_GB2312" w:eastAsia="仿宋_GB2312" w:cs="仿宋_GB2312"/>
          <w:kern w:val="2"/>
          <w:sz w:val="32"/>
          <w:szCs w:val="32"/>
          <w:lang w:eastAsia="zh-CN"/>
        </w:rPr>
      </w:pPr>
      <w:r>
        <w:rPr>
          <w:rFonts w:hint="eastAsia" w:ascii="仿宋_GB2312" w:hAnsi="仿宋_GB2312" w:eastAsia="仿宋_GB2312" w:cs="仿宋_GB2312"/>
          <w:kern w:val="2"/>
          <w:sz w:val="32"/>
          <w:szCs w:val="32"/>
          <w:lang w:eastAsia="zh-CN"/>
        </w:rPr>
        <w:t>3、访谈座谈法：与内设机构负责人、业务经办人员、服务对象开展座谈访谈，了解业务运行、制度执行、实际成效及存在困难。</w:t>
      </w:r>
    </w:p>
    <w:p w14:paraId="469758CB">
      <w:pPr>
        <w:kinsoku/>
        <w:autoSpaceDE/>
        <w:autoSpaceDN/>
        <w:adjustRightInd/>
        <w:snapToGrid/>
        <w:spacing w:line="560" w:lineRule="exact"/>
        <w:ind w:firstLine="640" w:firstLineChars="200"/>
        <w:contextualSpacing/>
        <w:jc w:val="both"/>
        <w:textAlignment w:val="auto"/>
        <w:rPr>
          <w:rFonts w:hint="eastAsia" w:ascii="仿宋_GB2312" w:hAnsi="仿宋_GB2312" w:eastAsia="仿宋_GB2312" w:cs="仿宋_GB2312"/>
          <w:kern w:val="2"/>
          <w:sz w:val="32"/>
          <w:szCs w:val="32"/>
          <w:lang w:eastAsia="zh-CN"/>
        </w:rPr>
      </w:pPr>
      <w:r>
        <w:rPr>
          <w:rFonts w:hint="eastAsia" w:ascii="仿宋_GB2312" w:hAnsi="仿宋_GB2312" w:eastAsia="仿宋_GB2312" w:cs="仿宋_GB2312"/>
          <w:kern w:val="2"/>
          <w:sz w:val="32"/>
          <w:szCs w:val="32"/>
          <w:lang w:eastAsia="zh-CN"/>
        </w:rPr>
        <w:t>4、比较分析法：对比年初设定绩效目标与实际完成情况，对比历年工作数据，分析目标完成偏差，查找差异形成原因。</w:t>
      </w:r>
    </w:p>
    <w:p w14:paraId="276B4733">
      <w:pPr>
        <w:kinsoku/>
        <w:autoSpaceDE/>
        <w:autoSpaceDN/>
        <w:adjustRightInd/>
        <w:snapToGrid/>
        <w:spacing w:line="560" w:lineRule="exact"/>
        <w:ind w:firstLine="640" w:firstLineChars="200"/>
        <w:contextualSpacing/>
        <w:jc w:val="both"/>
        <w:textAlignment w:val="auto"/>
        <w:rPr>
          <w:rFonts w:hint="eastAsia" w:ascii="仿宋_GB2312" w:hAnsi="仿宋_GB2312" w:eastAsia="仿宋_GB2312" w:cs="仿宋_GB2312"/>
          <w:kern w:val="2"/>
          <w:sz w:val="32"/>
          <w:szCs w:val="32"/>
          <w:lang w:eastAsia="zh-CN"/>
        </w:rPr>
      </w:pPr>
      <w:r>
        <w:rPr>
          <w:rFonts w:hint="eastAsia" w:ascii="仿宋_GB2312" w:hAnsi="仿宋_GB2312" w:eastAsia="仿宋_GB2312" w:cs="仿宋_GB2312"/>
          <w:kern w:val="2"/>
          <w:sz w:val="32"/>
          <w:szCs w:val="32"/>
          <w:lang w:eastAsia="zh-CN"/>
        </w:rPr>
        <w:t>5、问卷调查法：面向服务对象开展满意度问卷调查，收集社会公众对公共服务质量、履职效果的评价意见。</w:t>
      </w:r>
    </w:p>
    <w:p w14:paraId="4818FEBE">
      <w:pPr>
        <w:kinsoku/>
        <w:autoSpaceDE/>
        <w:autoSpaceDN/>
        <w:adjustRightInd/>
        <w:snapToGrid/>
        <w:spacing w:line="560" w:lineRule="exact"/>
        <w:ind w:firstLine="651" w:firstLineChars="200"/>
        <w:contextualSpacing/>
        <w:jc w:val="both"/>
        <w:textAlignment w:val="auto"/>
        <w:rPr>
          <w:rFonts w:ascii="楷体" w:hAnsi="楷体" w:eastAsia="楷体" w:cs="楷体"/>
          <w:b/>
          <w:bCs/>
          <w:spacing w:val="2"/>
          <w:sz w:val="32"/>
          <w:szCs w:val="32"/>
          <w:lang w:eastAsia="zh-CN"/>
        </w:rPr>
      </w:pPr>
      <w:r>
        <w:rPr>
          <w:rFonts w:hint="eastAsia" w:ascii="楷体" w:hAnsi="楷体" w:eastAsia="楷体" w:cs="楷体"/>
          <w:b/>
          <w:bCs/>
          <w:spacing w:val="2"/>
          <w:sz w:val="32"/>
          <w:szCs w:val="32"/>
          <w:lang w:eastAsia="zh-CN"/>
        </w:rPr>
        <w:t>（二）评价组织与分工</w:t>
      </w:r>
    </w:p>
    <w:p w14:paraId="1C43DF7A">
      <w:pPr>
        <w:kinsoku/>
        <w:autoSpaceDE/>
        <w:autoSpaceDN/>
        <w:adjustRightInd/>
        <w:snapToGrid/>
        <w:spacing w:line="560" w:lineRule="exact"/>
        <w:ind w:firstLine="640" w:firstLineChars="200"/>
        <w:contextualSpacing/>
        <w:jc w:val="both"/>
        <w:textAlignment w:val="auto"/>
        <w:rPr>
          <w:rFonts w:hint="eastAsia" w:ascii="仿宋_GB2312" w:hAnsi="仿宋_GB2312" w:eastAsia="仿宋_GB2312" w:cs="仿宋_GB2312"/>
          <w:kern w:val="2"/>
          <w:sz w:val="32"/>
          <w:szCs w:val="32"/>
          <w:lang w:eastAsia="zh-CN"/>
        </w:rPr>
      </w:pPr>
      <w:r>
        <w:rPr>
          <w:rFonts w:hint="eastAsia" w:ascii="仿宋_GB2312" w:hAnsi="仿宋_GB2312" w:eastAsia="仿宋_GB2312" w:cs="仿宋_GB2312"/>
          <w:kern w:val="2"/>
          <w:sz w:val="32"/>
          <w:szCs w:val="32"/>
          <w:lang w:eastAsia="zh-CN"/>
        </w:rPr>
        <w:t>为保障绩效评价客观公正、流程规范，成立绩效评价工作小组，明确各岗位职责，压实工作责任。</w:t>
      </w:r>
    </w:p>
    <w:p w14:paraId="04B657B5">
      <w:pPr>
        <w:kinsoku/>
        <w:autoSpaceDE/>
        <w:autoSpaceDN/>
        <w:adjustRightInd/>
        <w:snapToGrid/>
        <w:spacing w:line="560" w:lineRule="exact"/>
        <w:ind w:firstLine="640" w:firstLineChars="200"/>
        <w:contextualSpacing/>
        <w:jc w:val="both"/>
        <w:textAlignment w:val="auto"/>
        <w:rPr>
          <w:rFonts w:hint="eastAsia" w:ascii="仿宋_GB2312" w:hAnsi="仿宋_GB2312" w:eastAsia="仿宋_GB2312" w:cs="仿宋_GB2312"/>
          <w:kern w:val="2"/>
          <w:sz w:val="32"/>
          <w:szCs w:val="32"/>
          <w:lang w:eastAsia="zh-CN"/>
        </w:rPr>
      </w:pPr>
      <w:r>
        <w:rPr>
          <w:rFonts w:hint="eastAsia" w:ascii="仿宋_GB2312" w:hAnsi="仿宋_GB2312" w:eastAsia="仿宋_GB2312" w:cs="仿宋_GB2312"/>
          <w:kern w:val="2"/>
          <w:sz w:val="32"/>
          <w:szCs w:val="32"/>
          <w:lang w:eastAsia="zh-CN"/>
        </w:rPr>
        <w:t>1、评价工作领导小组：由综合部负责人任组长，统筹整体绩效评价工作，协调解决评价过程中的重大问题，审核最终绩效评价报告，对评价结果进行把关。</w:t>
      </w:r>
    </w:p>
    <w:p w14:paraId="617C5D97">
      <w:pPr>
        <w:kinsoku/>
        <w:autoSpaceDE/>
        <w:autoSpaceDN/>
        <w:adjustRightInd/>
        <w:snapToGrid/>
        <w:spacing w:line="560" w:lineRule="exact"/>
        <w:ind w:firstLine="640" w:firstLineChars="200"/>
        <w:contextualSpacing/>
        <w:jc w:val="both"/>
        <w:textAlignment w:val="auto"/>
        <w:rPr>
          <w:rFonts w:hint="eastAsia" w:ascii="仿宋_GB2312" w:hAnsi="仿宋_GB2312" w:eastAsia="仿宋_GB2312" w:cs="仿宋_GB2312"/>
          <w:kern w:val="2"/>
          <w:sz w:val="32"/>
          <w:szCs w:val="32"/>
          <w:lang w:eastAsia="zh-CN"/>
        </w:rPr>
      </w:pPr>
      <w:r>
        <w:rPr>
          <w:rFonts w:hint="eastAsia" w:ascii="仿宋_GB2312" w:hAnsi="仿宋_GB2312" w:eastAsia="仿宋_GB2312" w:cs="仿宋_GB2312"/>
          <w:kern w:val="2"/>
          <w:sz w:val="32"/>
          <w:szCs w:val="32"/>
          <w:lang w:eastAsia="zh-CN"/>
        </w:rPr>
        <w:t>2、评价实施小组：由各内设机构</w:t>
      </w:r>
      <w:r>
        <w:rPr>
          <w:rFonts w:hint="eastAsia" w:ascii="仿宋_GB2312" w:hAnsi="仿宋_GB2312" w:eastAsia="仿宋_GB2312" w:cs="仿宋_GB2312"/>
          <w:kern w:val="2"/>
          <w:sz w:val="32"/>
          <w:szCs w:val="32"/>
          <w:lang w:val="en-US" w:eastAsia="zh-CN"/>
        </w:rPr>
        <w:t>1人</w:t>
      </w:r>
      <w:r>
        <w:rPr>
          <w:rFonts w:hint="eastAsia" w:ascii="仿宋_GB2312" w:hAnsi="仿宋_GB2312" w:eastAsia="仿宋_GB2312" w:cs="仿宋_GB2312"/>
          <w:kern w:val="2"/>
          <w:sz w:val="32"/>
          <w:szCs w:val="32"/>
          <w:lang w:eastAsia="zh-CN"/>
        </w:rPr>
        <w:t>、财务</w:t>
      </w:r>
      <w:r>
        <w:rPr>
          <w:rFonts w:hint="eastAsia" w:ascii="仿宋_GB2312" w:hAnsi="仿宋_GB2312" w:eastAsia="仿宋_GB2312" w:cs="仿宋_GB2312"/>
          <w:kern w:val="2"/>
          <w:sz w:val="32"/>
          <w:szCs w:val="32"/>
          <w:lang w:val="en-US" w:eastAsia="zh-CN"/>
        </w:rPr>
        <w:t>1人</w:t>
      </w:r>
      <w:r>
        <w:rPr>
          <w:rFonts w:hint="eastAsia" w:ascii="仿宋_GB2312" w:hAnsi="仿宋_GB2312" w:eastAsia="仿宋_GB2312" w:cs="仿宋_GB2312"/>
          <w:kern w:val="2"/>
          <w:sz w:val="32"/>
          <w:szCs w:val="32"/>
          <w:lang w:eastAsia="zh-CN"/>
        </w:rPr>
        <w:t>组成，负责收集整理基础资料，开展资料审核、现场核查、访谈调研、数据测算，梳理问题，撰写绩效评价报告初稿。</w:t>
      </w:r>
    </w:p>
    <w:p w14:paraId="4796885B">
      <w:pPr>
        <w:kinsoku/>
        <w:autoSpaceDE/>
        <w:autoSpaceDN/>
        <w:adjustRightInd/>
        <w:snapToGrid/>
        <w:spacing w:line="560" w:lineRule="exact"/>
        <w:ind w:firstLine="651" w:firstLineChars="200"/>
        <w:contextualSpacing/>
        <w:jc w:val="both"/>
        <w:textAlignment w:val="auto"/>
        <w:rPr>
          <w:rFonts w:hint="eastAsia" w:ascii="楷体" w:hAnsi="楷体" w:eastAsia="楷体" w:cs="楷体"/>
          <w:b/>
          <w:bCs/>
          <w:spacing w:val="2"/>
          <w:sz w:val="32"/>
          <w:szCs w:val="32"/>
          <w:lang w:eastAsia="zh-CN"/>
        </w:rPr>
      </w:pPr>
      <w:r>
        <w:rPr>
          <w:rFonts w:hint="eastAsia" w:ascii="楷体" w:hAnsi="楷体" w:eastAsia="楷体" w:cs="楷体"/>
          <w:b/>
          <w:bCs/>
          <w:spacing w:val="2"/>
          <w:sz w:val="32"/>
          <w:szCs w:val="32"/>
          <w:lang w:eastAsia="zh-CN"/>
        </w:rPr>
        <w:t>（三）评价过程</w:t>
      </w:r>
    </w:p>
    <w:p w14:paraId="4473F839">
      <w:pPr>
        <w:kinsoku/>
        <w:autoSpaceDE/>
        <w:autoSpaceDN/>
        <w:adjustRightInd/>
        <w:snapToGrid/>
        <w:spacing w:line="560" w:lineRule="exact"/>
        <w:ind w:firstLine="640" w:firstLineChars="200"/>
        <w:contextualSpacing/>
        <w:jc w:val="both"/>
        <w:textAlignment w:val="auto"/>
        <w:rPr>
          <w:rFonts w:hint="eastAsia" w:ascii="仿宋_GB2312" w:hAnsi="仿宋_GB2312" w:eastAsia="仿宋_GB2312" w:cs="仿宋_GB2312"/>
          <w:kern w:val="2"/>
          <w:sz w:val="32"/>
          <w:szCs w:val="32"/>
          <w:lang w:eastAsia="zh-CN"/>
        </w:rPr>
      </w:pPr>
      <w:r>
        <w:rPr>
          <w:rFonts w:hint="eastAsia" w:ascii="仿宋_GB2312" w:hAnsi="仿宋_GB2312" w:eastAsia="仿宋_GB2312" w:cs="仿宋_GB2312"/>
          <w:kern w:val="2"/>
          <w:sz w:val="32"/>
          <w:szCs w:val="32"/>
          <w:lang w:eastAsia="zh-CN"/>
        </w:rPr>
        <w:t>本次绩效评价分步组织实施，整体分为前期准备、实施核查、汇总分析、沟通确认阶段。</w:t>
      </w:r>
    </w:p>
    <w:p w14:paraId="3AA52662">
      <w:pPr>
        <w:kinsoku/>
        <w:autoSpaceDE/>
        <w:autoSpaceDN/>
        <w:adjustRightInd/>
        <w:snapToGrid/>
        <w:spacing w:line="560" w:lineRule="exact"/>
        <w:ind w:firstLine="640" w:firstLineChars="200"/>
        <w:contextualSpacing/>
        <w:jc w:val="both"/>
        <w:textAlignment w:val="auto"/>
        <w:rPr>
          <w:rFonts w:hint="eastAsia" w:ascii="仿宋_GB2312" w:hAnsi="仿宋_GB2312" w:eastAsia="仿宋_GB2312" w:cs="仿宋_GB2312"/>
          <w:kern w:val="2"/>
          <w:sz w:val="32"/>
          <w:szCs w:val="32"/>
          <w:lang w:eastAsia="zh-CN"/>
        </w:rPr>
      </w:pPr>
      <w:r>
        <w:rPr>
          <w:rFonts w:hint="eastAsia" w:ascii="仿宋_GB2312" w:hAnsi="仿宋_GB2312" w:eastAsia="仿宋_GB2312" w:cs="仿宋_GB2312"/>
          <w:kern w:val="2"/>
          <w:sz w:val="32"/>
          <w:szCs w:val="32"/>
          <w:lang w:val="en-US" w:eastAsia="zh-CN"/>
        </w:rPr>
        <w:t>1、</w:t>
      </w:r>
      <w:r>
        <w:rPr>
          <w:rFonts w:hint="eastAsia" w:ascii="仿宋_GB2312" w:hAnsi="仿宋_GB2312" w:eastAsia="仿宋_GB2312" w:cs="仿宋_GB2312"/>
          <w:kern w:val="2"/>
          <w:sz w:val="32"/>
          <w:szCs w:val="32"/>
          <w:lang w:eastAsia="zh-CN"/>
        </w:rPr>
        <w:t>前期准备阶段</w:t>
      </w:r>
    </w:p>
    <w:p w14:paraId="54069D2F">
      <w:pPr>
        <w:kinsoku/>
        <w:autoSpaceDE/>
        <w:autoSpaceDN/>
        <w:adjustRightInd/>
        <w:snapToGrid/>
        <w:spacing w:line="560" w:lineRule="exact"/>
        <w:ind w:firstLine="640" w:firstLineChars="200"/>
        <w:contextualSpacing/>
        <w:jc w:val="both"/>
        <w:textAlignment w:val="auto"/>
        <w:rPr>
          <w:rFonts w:hint="eastAsia" w:ascii="仿宋_GB2312" w:hAnsi="仿宋_GB2312" w:eastAsia="仿宋_GB2312" w:cs="仿宋_GB2312"/>
          <w:kern w:val="2"/>
          <w:sz w:val="32"/>
          <w:szCs w:val="32"/>
          <w:lang w:eastAsia="zh-CN"/>
        </w:rPr>
      </w:pPr>
      <w:r>
        <w:rPr>
          <w:rFonts w:hint="eastAsia" w:ascii="仿宋_GB2312" w:hAnsi="仿宋_GB2312" w:eastAsia="仿宋_GB2312" w:cs="仿宋_GB2312"/>
          <w:kern w:val="2"/>
          <w:sz w:val="32"/>
          <w:szCs w:val="32"/>
          <w:lang w:eastAsia="zh-CN"/>
        </w:rPr>
        <w:t>一是明确评价对象、评价范围、评价时限，梳理年初绩效目标、预算批复文件；二是确定评价指标体系、评分标准、工作流程、时间节点；三是组织评价人员开展业务培训，熟悉政策要求、指标口径，明确工作纪律；四是布置相关准备工作。</w:t>
      </w:r>
    </w:p>
    <w:p w14:paraId="0ADB602F">
      <w:pPr>
        <w:kinsoku/>
        <w:autoSpaceDE/>
        <w:autoSpaceDN/>
        <w:adjustRightInd/>
        <w:snapToGrid/>
        <w:spacing w:line="560" w:lineRule="exact"/>
        <w:ind w:firstLine="640" w:firstLineChars="200"/>
        <w:contextualSpacing/>
        <w:jc w:val="both"/>
        <w:textAlignment w:val="auto"/>
        <w:rPr>
          <w:rFonts w:hint="eastAsia" w:ascii="仿宋_GB2312" w:hAnsi="仿宋_GB2312" w:eastAsia="仿宋_GB2312" w:cs="仿宋_GB2312"/>
          <w:kern w:val="2"/>
          <w:sz w:val="32"/>
          <w:szCs w:val="32"/>
          <w:lang w:eastAsia="zh-CN"/>
        </w:rPr>
      </w:pPr>
      <w:r>
        <w:rPr>
          <w:rFonts w:hint="eastAsia" w:ascii="仿宋_GB2312" w:hAnsi="仿宋_GB2312" w:eastAsia="仿宋_GB2312" w:cs="仿宋_GB2312"/>
          <w:kern w:val="2"/>
          <w:sz w:val="32"/>
          <w:szCs w:val="32"/>
          <w:lang w:val="en-US" w:eastAsia="zh-CN"/>
        </w:rPr>
        <w:t>2、</w:t>
      </w:r>
      <w:r>
        <w:rPr>
          <w:rFonts w:hint="eastAsia" w:ascii="仿宋_GB2312" w:hAnsi="仿宋_GB2312" w:eastAsia="仿宋_GB2312" w:cs="仿宋_GB2312"/>
          <w:kern w:val="2"/>
          <w:sz w:val="32"/>
          <w:szCs w:val="32"/>
          <w:lang w:eastAsia="zh-CN"/>
        </w:rPr>
        <w:t>资料收集与初步审核阶段</w:t>
      </w:r>
    </w:p>
    <w:p w14:paraId="66CD0CBD">
      <w:pPr>
        <w:kinsoku/>
        <w:autoSpaceDE/>
        <w:autoSpaceDN/>
        <w:adjustRightInd/>
        <w:snapToGrid/>
        <w:spacing w:line="560" w:lineRule="exact"/>
        <w:ind w:firstLine="640" w:firstLineChars="200"/>
        <w:contextualSpacing/>
        <w:jc w:val="both"/>
        <w:textAlignment w:val="auto"/>
        <w:rPr>
          <w:rFonts w:hint="eastAsia" w:ascii="仿宋_GB2312" w:hAnsi="仿宋_GB2312" w:eastAsia="仿宋_GB2312" w:cs="仿宋_GB2312"/>
          <w:kern w:val="2"/>
          <w:sz w:val="32"/>
          <w:szCs w:val="32"/>
          <w:lang w:eastAsia="zh-CN"/>
        </w:rPr>
      </w:pPr>
      <w:r>
        <w:rPr>
          <w:rFonts w:hint="eastAsia" w:ascii="仿宋_GB2312" w:hAnsi="仿宋_GB2312" w:eastAsia="仿宋_GB2312" w:cs="仿宋_GB2312"/>
          <w:kern w:val="2"/>
          <w:sz w:val="32"/>
          <w:szCs w:val="32"/>
          <w:lang w:eastAsia="zh-CN"/>
        </w:rPr>
        <w:t>财务人员报送财务账簿、凭证等资料。评价小组对报送资料完整性、规范性进行初审，核对资金支出进度、业务开展记录，初步比对绩效目标与实际完成数据，对资料不全、数据矛盾的，及时要求补充完善。</w:t>
      </w:r>
    </w:p>
    <w:p w14:paraId="0A54D29C">
      <w:pPr>
        <w:kinsoku/>
        <w:autoSpaceDE/>
        <w:autoSpaceDN/>
        <w:adjustRightInd/>
        <w:snapToGrid/>
        <w:spacing w:line="560" w:lineRule="exact"/>
        <w:ind w:firstLine="640" w:firstLineChars="200"/>
        <w:contextualSpacing/>
        <w:jc w:val="both"/>
        <w:textAlignment w:val="auto"/>
        <w:rPr>
          <w:rFonts w:hint="eastAsia" w:ascii="仿宋_GB2312" w:hAnsi="仿宋_GB2312" w:eastAsia="仿宋_GB2312" w:cs="仿宋_GB2312"/>
          <w:kern w:val="2"/>
          <w:sz w:val="32"/>
          <w:szCs w:val="32"/>
          <w:lang w:eastAsia="zh-CN"/>
        </w:rPr>
      </w:pPr>
      <w:r>
        <w:rPr>
          <w:rFonts w:hint="eastAsia" w:ascii="仿宋_GB2312" w:hAnsi="仿宋_GB2312" w:eastAsia="仿宋_GB2312" w:cs="仿宋_GB2312"/>
          <w:kern w:val="2"/>
          <w:sz w:val="32"/>
          <w:szCs w:val="32"/>
          <w:lang w:val="en-US" w:eastAsia="zh-CN"/>
        </w:rPr>
        <w:t>3、</w:t>
      </w:r>
      <w:r>
        <w:rPr>
          <w:rFonts w:hint="eastAsia" w:ascii="仿宋_GB2312" w:hAnsi="仿宋_GB2312" w:eastAsia="仿宋_GB2312" w:cs="仿宋_GB2312"/>
          <w:kern w:val="2"/>
          <w:sz w:val="32"/>
          <w:szCs w:val="32"/>
          <w:lang w:eastAsia="zh-CN"/>
        </w:rPr>
        <w:t>现场实施评价阶段</w:t>
      </w:r>
    </w:p>
    <w:p w14:paraId="561D97EE">
      <w:pPr>
        <w:kinsoku/>
        <w:autoSpaceDE/>
        <w:autoSpaceDN/>
        <w:adjustRightInd/>
        <w:snapToGrid/>
        <w:spacing w:line="560" w:lineRule="exact"/>
        <w:ind w:firstLine="640" w:firstLineChars="200"/>
        <w:contextualSpacing/>
        <w:jc w:val="both"/>
        <w:textAlignment w:val="auto"/>
        <w:rPr>
          <w:rFonts w:hint="eastAsia" w:ascii="仿宋_GB2312" w:hAnsi="仿宋_GB2312" w:eastAsia="仿宋_GB2312" w:cs="仿宋_GB2312"/>
          <w:kern w:val="2"/>
          <w:sz w:val="32"/>
          <w:szCs w:val="32"/>
          <w:lang w:eastAsia="zh-CN"/>
        </w:rPr>
      </w:pPr>
      <w:r>
        <w:rPr>
          <w:rFonts w:hint="eastAsia" w:ascii="仿宋_GB2312" w:hAnsi="仿宋_GB2312" w:eastAsia="仿宋_GB2312" w:cs="仿宋_GB2312"/>
          <w:kern w:val="2"/>
          <w:sz w:val="32"/>
          <w:szCs w:val="32"/>
          <w:lang w:eastAsia="zh-CN"/>
        </w:rPr>
        <w:t>评价小组赴各内设机构开展现场评价。查阅原始凭证、管理制度；开展座谈访谈，了解业务流程、项目实施情况；实地查看业务开展现场，核实工作产出落实情况；开展服务对象问卷调查，收集满意度情况。</w:t>
      </w:r>
    </w:p>
    <w:p w14:paraId="64F70A11">
      <w:pPr>
        <w:kinsoku/>
        <w:autoSpaceDE/>
        <w:autoSpaceDN/>
        <w:adjustRightInd/>
        <w:snapToGrid/>
        <w:spacing w:line="560" w:lineRule="exact"/>
        <w:ind w:firstLine="640" w:firstLineChars="200"/>
        <w:contextualSpacing/>
        <w:jc w:val="both"/>
        <w:textAlignment w:val="auto"/>
        <w:rPr>
          <w:rFonts w:hint="eastAsia" w:ascii="仿宋_GB2312" w:hAnsi="仿宋_GB2312" w:eastAsia="仿宋_GB2312" w:cs="仿宋_GB2312"/>
          <w:kern w:val="2"/>
          <w:sz w:val="32"/>
          <w:szCs w:val="32"/>
          <w:lang w:eastAsia="zh-CN"/>
        </w:rPr>
      </w:pPr>
      <w:r>
        <w:rPr>
          <w:rFonts w:hint="eastAsia" w:ascii="仿宋_GB2312" w:hAnsi="仿宋_GB2312" w:eastAsia="仿宋_GB2312" w:cs="仿宋_GB2312"/>
          <w:kern w:val="2"/>
          <w:sz w:val="32"/>
          <w:szCs w:val="32"/>
          <w:lang w:val="en-US" w:eastAsia="zh-CN"/>
        </w:rPr>
        <w:t>4、</w:t>
      </w:r>
      <w:r>
        <w:rPr>
          <w:rFonts w:hint="eastAsia" w:ascii="仿宋_GB2312" w:hAnsi="仿宋_GB2312" w:eastAsia="仿宋_GB2312" w:cs="仿宋_GB2312"/>
          <w:kern w:val="2"/>
          <w:sz w:val="32"/>
          <w:szCs w:val="32"/>
          <w:lang w:eastAsia="zh-CN"/>
        </w:rPr>
        <w:t>汇总分析与初步研判阶段</w:t>
      </w:r>
    </w:p>
    <w:p w14:paraId="0BC2B1CA">
      <w:pPr>
        <w:kinsoku/>
        <w:autoSpaceDE/>
        <w:autoSpaceDN/>
        <w:adjustRightInd/>
        <w:snapToGrid/>
        <w:spacing w:line="560" w:lineRule="exact"/>
        <w:ind w:firstLine="640" w:firstLineChars="200"/>
        <w:contextualSpacing/>
        <w:jc w:val="both"/>
        <w:textAlignment w:val="auto"/>
        <w:rPr>
          <w:rFonts w:hint="eastAsia" w:ascii="仿宋_GB2312" w:hAnsi="仿宋_GB2312" w:eastAsia="仿宋_GB2312" w:cs="仿宋_GB2312"/>
          <w:kern w:val="2"/>
          <w:sz w:val="32"/>
          <w:szCs w:val="32"/>
          <w:lang w:eastAsia="zh-CN"/>
        </w:rPr>
      </w:pPr>
      <w:r>
        <w:rPr>
          <w:rFonts w:hint="eastAsia" w:ascii="仿宋_GB2312" w:hAnsi="仿宋_GB2312" w:eastAsia="仿宋_GB2312" w:cs="仿宋_GB2312"/>
          <w:kern w:val="2"/>
          <w:sz w:val="32"/>
          <w:szCs w:val="32"/>
          <w:lang w:eastAsia="zh-CN"/>
        </w:rPr>
        <w:t>现场工作结束后，评价小组对收集的全部证据、数据进行整理汇总，对照评价指标逐项打分，核算得分情况。梳理履职取得成效，梳理资金管理、项目执行、绩效目标设定、业务管理方面存在的问题，分析问题产生的主客观原因，形成绩效评价初步意见。</w:t>
      </w:r>
    </w:p>
    <w:p w14:paraId="24E8B1B2">
      <w:pPr>
        <w:kinsoku/>
        <w:autoSpaceDE/>
        <w:autoSpaceDN/>
        <w:adjustRightInd/>
        <w:snapToGrid/>
        <w:spacing w:line="560" w:lineRule="exact"/>
        <w:ind w:firstLine="640" w:firstLineChars="200"/>
        <w:contextualSpacing/>
        <w:jc w:val="both"/>
        <w:textAlignment w:val="auto"/>
        <w:rPr>
          <w:rFonts w:hint="eastAsia" w:ascii="仿宋_GB2312" w:hAnsi="仿宋_GB2312" w:eastAsia="仿宋_GB2312" w:cs="仿宋_GB2312"/>
          <w:kern w:val="2"/>
          <w:sz w:val="32"/>
          <w:szCs w:val="32"/>
          <w:lang w:eastAsia="zh-CN"/>
        </w:rPr>
      </w:pPr>
      <w:r>
        <w:rPr>
          <w:rFonts w:hint="eastAsia" w:ascii="仿宋_GB2312" w:hAnsi="仿宋_GB2312" w:eastAsia="仿宋_GB2312" w:cs="仿宋_GB2312"/>
          <w:kern w:val="2"/>
          <w:sz w:val="32"/>
          <w:szCs w:val="32"/>
          <w:lang w:val="en-US" w:eastAsia="zh-CN"/>
        </w:rPr>
        <w:t>5、</w:t>
      </w:r>
      <w:r>
        <w:rPr>
          <w:rFonts w:hint="eastAsia" w:ascii="仿宋_GB2312" w:hAnsi="仿宋_GB2312" w:eastAsia="仿宋_GB2312" w:cs="仿宋_GB2312"/>
          <w:kern w:val="2"/>
          <w:sz w:val="32"/>
          <w:szCs w:val="32"/>
          <w:lang w:eastAsia="zh-CN"/>
        </w:rPr>
        <w:t>沟通确认阶段</w:t>
      </w:r>
    </w:p>
    <w:p w14:paraId="4896C7E4">
      <w:pPr>
        <w:kinsoku/>
        <w:autoSpaceDE/>
        <w:autoSpaceDN/>
        <w:adjustRightInd/>
        <w:snapToGrid/>
        <w:spacing w:line="560" w:lineRule="exact"/>
        <w:ind w:firstLine="640" w:firstLineChars="200"/>
        <w:contextualSpacing/>
        <w:jc w:val="both"/>
        <w:textAlignment w:val="auto"/>
        <w:rPr>
          <w:rFonts w:hint="eastAsia" w:ascii="楷体" w:hAnsi="楷体" w:eastAsia="楷体" w:cs="楷体"/>
          <w:b/>
          <w:bCs/>
          <w:spacing w:val="2"/>
          <w:sz w:val="32"/>
          <w:szCs w:val="32"/>
          <w:lang w:eastAsia="zh-CN"/>
        </w:rPr>
      </w:pPr>
      <w:r>
        <w:rPr>
          <w:rFonts w:hint="eastAsia" w:ascii="仿宋_GB2312" w:hAnsi="仿宋_GB2312" w:eastAsia="仿宋_GB2312" w:cs="仿宋_GB2312"/>
          <w:kern w:val="2"/>
          <w:sz w:val="32"/>
          <w:szCs w:val="32"/>
          <w:lang w:eastAsia="zh-CN"/>
        </w:rPr>
        <w:t>将初步评价意见向各内设机构进行反馈，就评价发现问题、得分情况进行沟通，听取说明解释。对事实存在出入的，进一步复核佐证材料；对达成共识的问题予以确认，形成正式绩效评价报告，明确主要成效、存在问题以及改进建议，完成本次绩效评价工作。</w:t>
      </w:r>
    </w:p>
    <w:p w14:paraId="34EF10A6">
      <w:pPr>
        <w:kinsoku/>
        <w:autoSpaceDE/>
        <w:autoSpaceDN/>
        <w:adjustRightInd/>
        <w:snapToGrid/>
        <w:spacing w:line="560" w:lineRule="exact"/>
        <w:ind w:firstLine="651" w:firstLineChars="200"/>
        <w:contextualSpacing/>
        <w:jc w:val="both"/>
        <w:textAlignment w:val="auto"/>
        <w:rPr>
          <w:rFonts w:ascii="楷体" w:hAnsi="楷体" w:eastAsia="楷体" w:cs="楷体"/>
          <w:b/>
          <w:bCs/>
          <w:spacing w:val="2"/>
          <w:sz w:val="32"/>
          <w:szCs w:val="32"/>
          <w:lang w:eastAsia="zh-CN"/>
        </w:rPr>
      </w:pPr>
      <w:r>
        <w:rPr>
          <w:rFonts w:hint="eastAsia" w:ascii="楷体" w:hAnsi="楷体" w:eastAsia="楷体" w:cs="楷体"/>
          <w:b/>
          <w:bCs/>
          <w:spacing w:val="2"/>
          <w:sz w:val="32"/>
          <w:szCs w:val="32"/>
          <w:lang w:eastAsia="zh-CN"/>
        </w:rPr>
        <w:t>（四）评价指标体系</w:t>
      </w:r>
    </w:p>
    <w:p w14:paraId="3AD19DDB">
      <w:pPr>
        <w:kinsoku/>
        <w:autoSpaceDE/>
        <w:autoSpaceDN/>
        <w:adjustRightInd/>
        <w:snapToGrid/>
        <w:spacing w:line="560" w:lineRule="exact"/>
        <w:ind w:firstLine="640" w:firstLineChars="200"/>
        <w:contextualSpacing/>
        <w:jc w:val="both"/>
        <w:textAlignment w:val="auto"/>
        <w:rPr>
          <w:rFonts w:ascii="仿宋_GB2312" w:hAnsi="仿宋_GB2312" w:eastAsia="仿宋_GB2312" w:cs="仿宋_GB2312"/>
          <w:kern w:val="2"/>
          <w:sz w:val="32"/>
          <w:szCs w:val="32"/>
          <w:lang w:eastAsia="zh-CN"/>
        </w:rPr>
      </w:pPr>
      <w:r>
        <w:rPr>
          <w:rFonts w:hint="eastAsia" w:ascii="仿宋_GB2312" w:hAnsi="仿宋_GB2312" w:eastAsia="仿宋_GB2312" w:cs="仿宋_GB2312"/>
          <w:kern w:val="2"/>
          <w:sz w:val="32"/>
          <w:szCs w:val="32"/>
          <w:lang w:eastAsia="zh-CN"/>
        </w:rPr>
        <w:t>根据绩效评价的基本原理、原则和项目特点，参照《南京市市级财政预算绩效评价操作规程》（宁财绩〔2020〕</w:t>
      </w:r>
      <w:r>
        <w:rPr>
          <w:rFonts w:hint="eastAsia" w:ascii="仿宋_GB2312" w:hAnsi="仿宋_GB2312" w:eastAsia="仿宋_GB2312" w:cs="仿宋_GB2312"/>
          <w:kern w:val="2"/>
          <w:sz w:val="32"/>
          <w:szCs w:val="32"/>
          <w:lang w:val="en-US" w:eastAsia="zh-CN"/>
        </w:rPr>
        <w:t>260</w:t>
      </w:r>
      <w:r>
        <w:rPr>
          <w:rFonts w:hint="eastAsia" w:ascii="仿宋_GB2312" w:hAnsi="仿宋_GB2312" w:eastAsia="仿宋_GB2312" w:cs="仿宋_GB2312"/>
          <w:kern w:val="2"/>
          <w:sz w:val="32"/>
          <w:szCs w:val="32"/>
          <w:lang w:eastAsia="zh-CN"/>
        </w:rPr>
        <w:t>号），结合我办202</w:t>
      </w:r>
      <w:r>
        <w:rPr>
          <w:rFonts w:hint="eastAsia" w:ascii="仿宋_GB2312" w:hAnsi="仿宋_GB2312" w:eastAsia="仿宋_GB2312" w:cs="仿宋_GB2312"/>
          <w:kern w:val="2"/>
          <w:sz w:val="32"/>
          <w:szCs w:val="32"/>
          <w:lang w:val="en-US" w:eastAsia="zh-CN"/>
        </w:rPr>
        <w:t>5</w:t>
      </w:r>
      <w:r>
        <w:rPr>
          <w:rFonts w:hint="eastAsia" w:ascii="仿宋_GB2312" w:hAnsi="仿宋_GB2312" w:eastAsia="仿宋_GB2312" w:cs="仿宋_GB2312"/>
          <w:kern w:val="2"/>
          <w:sz w:val="32"/>
          <w:szCs w:val="32"/>
          <w:lang w:eastAsia="zh-CN"/>
        </w:rPr>
        <w:t>年度工作目标任务、业务和资金管理，设计部门整体绩效评价指标体系，评价指标体系涵盖部门决策、过程、部门履职、效益和满意度五个方面。202</w:t>
      </w:r>
      <w:r>
        <w:rPr>
          <w:rFonts w:hint="eastAsia" w:ascii="仿宋_GB2312" w:hAnsi="仿宋_GB2312" w:eastAsia="仿宋_GB2312" w:cs="仿宋_GB2312"/>
          <w:kern w:val="2"/>
          <w:sz w:val="32"/>
          <w:szCs w:val="32"/>
          <w:lang w:val="en-US" w:eastAsia="zh-CN"/>
        </w:rPr>
        <w:t>5</w:t>
      </w:r>
      <w:r>
        <w:rPr>
          <w:rFonts w:hint="eastAsia" w:ascii="仿宋_GB2312" w:hAnsi="仿宋_GB2312" w:eastAsia="仿宋_GB2312" w:cs="仿宋_GB2312"/>
          <w:kern w:val="2"/>
          <w:sz w:val="32"/>
          <w:szCs w:val="32"/>
          <w:lang w:eastAsia="zh-CN"/>
        </w:rPr>
        <w:t>年南京仲裁委员会办公室部门整体绩效评价指标体系共设计</w:t>
      </w:r>
      <w:r>
        <w:rPr>
          <w:rFonts w:hint="eastAsia" w:ascii="仿宋_GB2312" w:hAnsi="仿宋_GB2312" w:eastAsia="仿宋_GB2312" w:cs="仿宋_GB2312"/>
          <w:kern w:val="2"/>
          <w:sz w:val="32"/>
          <w:szCs w:val="32"/>
          <w:lang w:val="en-US" w:eastAsia="zh-CN"/>
        </w:rPr>
        <w:t>5</w:t>
      </w:r>
      <w:r>
        <w:rPr>
          <w:rFonts w:hint="eastAsia" w:ascii="仿宋_GB2312" w:hAnsi="仿宋_GB2312" w:eastAsia="仿宋_GB2312" w:cs="仿宋_GB2312"/>
          <w:kern w:val="2"/>
          <w:sz w:val="32"/>
          <w:szCs w:val="32"/>
          <w:lang w:eastAsia="zh-CN"/>
        </w:rPr>
        <w:t>个一级指标，</w:t>
      </w:r>
      <w:r>
        <w:rPr>
          <w:rFonts w:hint="eastAsia" w:ascii="仿宋_GB2312" w:hAnsi="仿宋_GB2312" w:eastAsia="仿宋_GB2312" w:cs="仿宋_GB2312"/>
          <w:kern w:val="2"/>
          <w:sz w:val="32"/>
          <w:szCs w:val="32"/>
          <w:lang w:val="en-US" w:eastAsia="zh-CN"/>
        </w:rPr>
        <w:t>14</w:t>
      </w:r>
      <w:r>
        <w:rPr>
          <w:rFonts w:hint="eastAsia" w:ascii="仿宋_GB2312" w:hAnsi="仿宋_GB2312" w:eastAsia="仿宋_GB2312" w:cs="仿宋_GB2312"/>
          <w:kern w:val="2"/>
          <w:sz w:val="32"/>
          <w:szCs w:val="32"/>
          <w:lang w:eastAsia="zh-CN"/>
        </w:rPr>
        <w:t>个二级指标、</w:t>
      </w:r>
      <w:r>
        <w:rPr>
          <w:rFonts w:hint="eastAsia" w:ascii="仿宋_GB2312" w:hAnsi="仿宋_GB2312" w:eastAsia="仿宋_GB2312" w:cs="仿宋_GB2312"/>
          <w:kern w:val="2"/>
          <w:sz w:val="32"/>
          <w:szCs w:val="32"/>
          <w:lang w:val="en-US" w:eastAsia="zh-CN"/>
        </w:rPr>
        <w:t>36</w:t>
      </w:r>
      <w:r>
        <w:rPr>
          <w:rFonts w:hint="eastAsia" w:ascii="仿宋_GB2312" w:hAnsi="仿宋_GB2312" w:eastAsia="仿宋_GB2312" w:cs="仿宋_GB2312"/>
          <w:kern w:val="2"/>
          <w:sz w:val="32"/>
          <w:szCs w:val="32"/>
          <w:lang w:eastAsia="zh-CN"/>
        </w:rPr>
        <w:t>个三级指标。详见《202</w:t>
      </w:r>
      <w:r>
        <w:rPr>
          <w:rFonts w:hint="eastAsia" w:ascii="仿宋_GB2312" w:hAnsi="仿宋_GB2312" w:eastAsia="仿宋_GB2312" w:cs="仿宋_GB2312"/>
          <w:kern w:val="2"/>
          <w:sz w:val="32"/>
          <w:szCs w:val="32"/>
          <w:lang w:val="en-US" w:eastAsia="zh-CN"/>
        </w:rPr>
        <w:t>5</w:t>
      </w:r>
      <w:r>
        <w:rPr>
          <w:rFonts w:hint="eastAsia" w:ascii="仿宋_GB2312" w:hAnsi="仿宋_GB2312" w:eastAsia="仿宋_GB2312" w:cs="仿宋_GB2312"/>
          <w:kern w:val="2"/>
          <w:sz w:val="32"/>
          <w:szCs w:val="32"/>
          <w:lang w:eastAsia="zh-CN"/>
        </w:rPr>
        <w:t>年南京仲裁委员会办公室整体绩效评价评分表》</w:t>
      </w:r>
    </w:p>
    <w:p w14:paraId="5717DE46">
      <w:pPr>
        <w:kinsoku/>
        <w:autoSpaceDE/>
        <w:autoSpaceDN/>
        <w:adjustRightInd/>
        <w:snapToGrid/>
        <w:spacing w:line="560" w:lineRule="exact"/>
        <w:ind w:firstLine="640" w:firstLineChars="200"/>
        <w:contextualSpacing/>
        <w:jc w:val="both"/>
        <w:textAlignment w:val="auto"/>
        <w:rPr>
          <w:rFonts w:ascii="仿宋_GB2312" w:hAnsi="仿宋_GB2312" w:eastAsia="仿宋_GB2312" w:cs="仿宋_GB2312"/>
          <w:kern w:val="2"/>
          <w:sz w:val="32"/>
          <w:szCs w:val="32"/>
          <w:lang w:eastAsia="zh-CN"/>
        </w:rPr>
      </w:pPr>
    </w:p>
    <w:p w14:paraId="26E2B843">
      <w:pPr>
        <w:pStyle w:val="4"/>
        <w:rPr>
          <w:rFonts w:ascii="仿宋_GB2312" w:hAnsi="仿宋_GB2312" w:eastAsia="仿宋_GB2312" w:cs="仿宋_GB2312"/>
          <w:kern w:val="2"/>
          <w:sz w:val="32"/>
          <w:szCs w:val="32"/>
          <w:lang w:eastAsia="zh-CN"/>
        </w:rPr>
        <w:sectPr>
          <w:footerReference r:id="rId3" w:type="default"/>
          <w:pgSz w:w="11907" w:h="16839"/>
          <w:pgMar w:top="1431" w:right="1689" w:bottom="1424" w:left="1785" w:header="0" w:footer="1261" w:gutter="0"/>
          <w:pgBorders>
            <w:top w:val="none" w:sz="0" w:space="0"/>
            <w:left w:val="none" w:sz="0" w:space="0"/>
            <w:bottom w:val="none" w:sz="0" w:space="0"/>
            <w:right w:val="none" w:sz="0" w:space="0"/>
          </w:pgBorders>
          <w:cols w:space="720" w:num="1"/>
        </w:sectPr>
      </w:pPr>
    </w:p>
    <w:p w14:paraId="79C490BD">
      <w:pPr>
        <w:widowControl w:val="0"/>
        <w:kinsoku/>
        <w:autoSpaceDE/>
        <w:autoSpaceDN/>
        <w:adjustRightInd/>
        <w:snapToGrid/>
        <w:spacing w:line="560" w:lineRule="exact"/>
        <w:contextualSpacing/>
        <w:jc w:val="center"/>
        <w:textAlignment w:val="auto"/>
        <w:rPr>
          <w:rFonts w:ascii="仿宋_GB2312" w:hAnsi="仿宋_GB2312" w:eastAsia="仿宋_GB2312" w:cs="仿宋_GB2312"/>
          <w:snapToGrid/>
          <w:kern w:val="2"/>
          <w:sz w:val="28"/>
          <w:szCs w:val="28"/>
          <w:lang w:eastAsia="zh-CN"/>
        </w:rPr>
      </w:pPr>
      <w:r>
        <w:rPr>
          <w:rFonts w:hint="eastAsia" w:ascii="仿宋_GB2312" w:hAnsi="仿宋_GB2312" w:eastAsia="仿宋_GB2312" w:cs="仿宋_GB2312"/>
          <w:snapToGrid/>
          <w:kern w:val="2"/>
          <w:sz w:val="28"/>
          <w:szCs w:val="28"/>
          <w:lang w:eastAsia="zh-CN"/>
        </w:rPr>
        <w:t>附件：202</w:t>
      </w:r>
      <w:r>
        <w:rPr>
          <w:rFonts w:hint="eastAsia" w:ascii="仿宋_GB2312" w:hAnsi="仿宋_GB2312" w:eastAsia="仿宋_GB2312" w:cs="仿宋_GB2312"/>
          <w:snapToGrid/>
          <w:kern w:val="2"/>
          <w:sz w:val="28"/>
          <w:szCs w:val="28"/>
          <w:lang w:val="en-US" w:eastAsia="zh-CN"/>
        </w:rPr>
        <w:t>5</w:t>
      </w:r>
      <w:r>
        <w:rPr>
          <w:rFonts w:hint="eastAsia" w:ascii="仿宋_GB2312" w:hAnsi="仿宋_GB2312" w:eastAsia="仿宋_GB2312" w:cs="仿宋_GB2312"/>
          <w:snapToGrid/>
          <w:kern w:val="2"/>
          <w:sz w:val="28"/>
          <w:szCs w:val="28"/>
          <w:lang w:eastAsia="zh-CN"/>
        </w:rPr>
        <w:t>年南京仲裁委员会办公室整体绩效评价评分表</w:t>
      </w:r>
    </w:p>
    <w:p w14:paraId="1AB5051B">
      <w:pPr>
        <w:spacing w:line="29" w:lineRule="exact"/>
        <w:rPr>
          <w:lang w:eastAsia="zh-CN"/>
        </w:rPr>
      </w:pPr>
    </w:p>
    <w:tbl>
      <w:tblPr>
        <w:tblStyle w:val="10"/>
        <w:tblW w:w="5024"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837"/>
        <w:gridCol w:w="978"/>
        <w:gridCol w:w="939"/>
        <w:gridCol w:w="761"/>
        <w:gridCol w:w="497"/>
        <w:gridCol w:w="2299"/>
        <w:gridCol w:w="5296"/>
        <w:gridCol w:w="4084"/>
        <w:gridCol w:w="767"/>
      </w:tblGrid>
      <w:tr w14:paraId="68C436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5" w:hRule="atLeast"/>
          <w:jc w:val="center"/>
        </w:trPr>
        <w:tc>
          <w:tcPr>
            <w:tcW w:w="254" w:type="pct"/>
            <w:vMerge w:val="restart"/>
            <w:tcBorders>
              <w:bottom w:val="nil"/>
            </w:tcBorders>
            <w:shd w:val="clear" w:color="auto" w:fill="BDC1C2"/>
            <w:vAlign w:val="center"/>
          </w:tcPr>
          <w:p w14:paraId="4D77F4E0">
            <w:pPr>
              <w:pStyle w:val="11"/>
              <w:spacing w:before="104" w:line="212" w:lineRule="auto"/>
              <w:ind w:left="104" w:right="108"/>
              <w:jc w:val="both"/>
              <w:rPr>
                <w:rFonts w:hint="eastAsia" w:ascii="仿宋" w:hAnsi="仿宋" w:eastAsia="仿宋" w:cs="仿宋"/>
                <w:sz w:val="21"/>
                <w:szCs w:val="21"/>
              </w:rPr>
            </w:pPr>
            <w:r>
              <w:rPr>
                <w:rFonts w:hint="eastAsia" w:ascii="仿宋" w:hAnsi="仿宋" w:eastAsia="仿宋" w:cs="仿宋"/>
                <w:spacing w:val="-2"/>
                <w:sz w:val="21"/>
                <w:szCs w:val="21"/>
              </w:rPr>
              <w:t>一级指标</w:t>
            </w:r>
          </w:p>
        </w:tc>
        <w:tc>
          <w:tcPr>
            <w:tcW w:w="297" w:type="pct"/>
            <w:vMerge w:val="restart"/>
            <w:tcBorders>
              <w:bottom w:val="nil"/>
            </w:tcBorders>
            <w:shd w:val="clear" w:color="auto" w:fill="BABDBF"/>
            <w:vAlign w:val="center"/>
          </w:tcPr>
          <w:p w14:paraId="33B16566">
            <w:pPr>
              <w:pStyle w:val="11"/>
              <w:spacing w:before="202" w:line="220" w:lineRule="auto"/>
              <w:jc w:val="both"/>
              <w:rPr>
                <w:rFonts w:hint="eastAsia" w:ascii="仿宋" w:hAnsi="仿宋" w:eastAsia="仿宋" w:cs="仿宋"/>
                <w:sz w:val="21"/>
                <w:szCs w:val="21"/>
              </w:rPr>
            </w:pPr>
            <w:r>
              <w:rPr>
                <w:rFonts w:hint="eastAsia" w:ascii="仿宋" w:hAnsi="仿宋" w:eastAsia="仿宋" w:cs="仿宋"/>
                <w:spacing w:val="-2"/>
                <w:sz w:val="21"/>
                <w:szCs w:val="21"/>
              </w:rPr>
              <w:t>二级指标</w:t>
            </w:r>
          </w:p>
        </w:tc>
        <w:tc>
          <w:tcPr>
            <w:tcW w:w="1365" w:type="pct"/>
            <w:gridSpan w:val="4"/>
            <w:shd w:val="clear" w:color="auto" w:fill="B6B8BB"/>
            <w:vAlign w:val="center"/>
          </w:tcPr>
          <w:p w14:paraId="07CB005C">
            <w:pPr>
              <w:pStyle w:val="11"/>
              <w:spacing w:before="52" w:line="220" w:lineRule="auto"/>
              <w:jc w:val="center"/>
              <w:rPr>
                <w:rFonts w:hint="eastAsia" w:ascii="仿宋" w:hAnsi="仿宋" w:eastAsia="仿宋" w:cs="仿宋"/>
                <w:sz w:val="21"/>
                <w:szCs w:val="21"/>
              </w:rPr>
            </w:pPr>
            <w:r>
              <w:rPr>
                <w:rFonts w:hint="eastAsia" w:ascii="仿宋" w:hAnsi="仿宋" w:eastAsia="仿宋" w:cs="仿宋"/>
                <w:spacing w:val="-2"/>
                <w:sz w:val="21"/>
                <w:szCs w:val="21"/>
              </w:rPr>
              <w:t>三级指标</w:t>
            </w:r>
          </w:p>
        </w:tc>
        <w:tc>
          <w:tcPr>
            <w:tcW w:w="1608" w:type="pct"/>
            <w:vMerge w:val="restart"/>
            <w:tcBorders>
              <w:bottom w:val="nil"/>
            </w:tcBorders>
            <w:shd w:val="clear" w:color="auto" w:fill="B6B8BC"/>
            <w:vAlign w:val="center"/>
          </w:tcPr>
          <w:p w14:paraId="50659059">
            <w:pPr>
              <w:pStyle w:val="11"/>
              <w:spacing w:before="200" w:line="218" w:lineRule="auto"/>
              <w:jc w:val="center"/>
              <w:rPr>
                <w:rFonts w:hint="eastAsia" w:ascii="仿宋" w:hAnsi="仿宋" w:eastAsia="仿宋" w:cs="仿宋"/>
                <w:sz w:val="21"/>
                <w:szCs w:val="21"/>
              </w:rPr>
            </w:pPr>
            <w:r>
              <w:rPr>
                <w:rFonts w:hint="eastAsia" w:ascii="仿宋" w:hAnsi="仿宋" w:eastAsia="仿宋" w:cs="仿宋"/>
                <w:spacing w:val="1"/>
                <w:sz w:val="21"/>
                <w:szCs w:val="21"/>
              </w:rPr>
              <w:t>评价要点及评分规则</w:t>
            </w:r>
          </w:p>
        </w:tc>
        <w:tc>
          <w:tcPr>
            <w:tcW w:w="1240" w:type="pct"/>
            <w:vMerge w:val="restart"/>
            <w:tcBorders>
              <w:bottom w:val="nil"/>
            </w:tcBorders>
            <w:shd w:val="clear" w:color="auto" w:fill="B7B8BC"/>
            <w:vAlign w:val="center"/>
          </w:tcPr>
          <w:p w14:paraId="0DCEFB01">
            <w:pPr>
              <w:pStyle w:val="11"/>
              <w:spacing w:before="202" w:line="219" w:lineRule="auto"/>
              <w:jc w:val="center"/>
              <w:rPr>
                <w:rFonts w:hint="eastAsia" w:ascii="仿宋" w:hAnsi="仿宋" w:eastAsia="仿宋" w:cs="仿宋"/>
                <w:sz w:val="21"/>
                <w:szCs w:val="21"/>
                <w:lang w:eastAsia="zh-CN"/>
              </w:rPr>
            </w:pPr>
            <w:r>
              <w:rPr>
                <w:rFonts w:hint="eastAsia" w:ascii="仿宋" w:hAnsi="仿宋" w:eastAsia="仿宋" w:cs="仿宋"/>
                <w:spacing w:val="-2"/>
                <w:sz w:val="21"/>
                <w:szCs w:val="21"/>
              </w:rPr>
              <w:t>实际完成值</w:t>
            </w:r>
            <w:r>
              <w:rPr>
                <w:rFonts w:hint="eastAsia" w:ascii="仿宋" w:hAnsi="仿宋" w:eastAsia="仿宋" w:cs="仿宋"/>
                <w:spacing w:val="-2"/>
                <w:sz w:val="21"/>
                <w:szCs w:val="21"/>
                <w:lang w:eastAsia="zh-CN"/>
              </w:rPr>
              <w:t>及扣分说明</w:t>
            </w:r>
          </w:p>
        </w:tc>
        <w:tc>
          <w:tcPr>
            <w:tcW w:w="233" w:type="pct"/>
            <w:vMerge w:val="restart"/>
            <w:tcBorders>
              <w:bottom w:val="nil"/>
            </w:tcBorders>
            <w:shd w:val="clear" w:color="auto" w:fill="B7B8BC"/>
            <w:vAlign w:val="center"/>
          </w:tcPr>
          <w:p w14:paraId="67CB6316">
            <w:pPr>
              <w:pStyle w:val="11"/>
              <w:spacing w:before="202" w:line="219" w:lineRule="auto"/>
              <w:ind w:left="170"/>
              <w:jc w:val="both"/>
              <w:rPr>
                <w:rFonts w:hint="eastAsia" w:ascii="仿宋" w:hAnsi="仿宋" w:eastAsia="仿宋" w:cs="仿宋"/>
                <w:sz w:val="21"/>
                <w:szCs w:val="21"/>
              </w:rPr>
            </w:pPr>
            <w:r>
              <w:rPr>
                <w:rFonts w:hint="eastAsia" w:ascii="仿宋" w:hAnsi="仿宋" w:eastAsia="仿宋" w:cs="仿宋"/>
                <w:spacing w:val="-2"/>
                <w:sz w:val="21"/>
                <w:szCs w:val="21"/>
              </w:rPr>
              <w:t>得分</w:t>
            </w:r>
          </w:p>
        </w:tc>
      </w:tr>
      <w:tr w14:paraId="3CC9B5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jc w:val="center"/>
        </w:trPr>
        <w:tc>
          <w:tcPr>
            <w:tcW w:w="254" w:type="pct"/>
            <w:vMerge w:val="continue"/>
            <w:tcBorders>
              <w:top w:val="nil"/>
            </w:tcBorders>
            <w:vAlign w:val="center"/>
          </w:tcPr>
          <w:p w14:paraId="2581D5D5">
            <w:pPr>
              <w:jc w:val="center"/>
              <w:rPr>
                <w:rFonts w:hint="eastAsia" w:ascii="仿宋" w:hAnsi="仿宋" w:eastAsia="仿宋" w:cs="仿宋"/>
                <w:sz w:val="21"/>
                <w:szCs w:val="21"/>
              </w:rPr>
            </w:pPr>
          </w:p>
        </w:tc>
        <w:tc>
          <w:tcPr>
            <w:tcW w:w="297" w:type="pct"/>
            <w:vMerge w:val="continue"/>
            <w:tcBorders>
              <w:top w:val="nil"/>
            </w:tcBorders>
            <w:vAlign w:val="center"/>
          </w:tcPr>
          <w:p w14:paraId="45A5D96F">
            <w:pPr>
              <w:jc w:val="center"/>
              <w:rPr>
                <w:rFonts w:hint="eastAsia" w:ascii="仿宋" w:hAnsi="仿宋" w:eastAsia="仿宋" w:cs="仿宋"/>
                <w:sz w:val="21"/>
                <w:szCs w:val="21"/>
              </w:rPr>
            </w:pPr>
          </w:p>
        </w:tc>
        <w:tc>
          <w:tcPr>
            <w:tcW w:w="284" w:type="pct"/>
            <w:shd w:val="clear" w:color="auto" w:fill="B9BDBF"/>
            <w:vAlign w:val="center"/>
          </w:tcPr>
          <w:p w14:paraId="7AD305F3">
            <w:pPr>
              <w:pStyle w:val="11"/>
              <w:spacing w:before="57" w:line="220" w:lineRule="auto"/>
              <w:ind w:left="41"/>
              <w:jc w:val="center"/>
              <w:rPr>
                <w:rFonts w:hint="eastAsia" w:ascii="仿宋" w:hAnsi="仿宋" w:eastAsia="仿宋" w:cs="仿宋"/>
                <w:sz w:val="21"/>
                <w:szCs w:val="21"/>
              </w:rPr>
            </w:pPr>
            <w:r>
              <w:rPr>
                <w:rFonts w:hint="eastAsia" w:ascii="仿宋" w:hAnsi="仿宋" w:eastAsia="仿宋" w:cs="仿宋"/>
                <w:spacing w:val="-2"/>
                <w:sz w:val="21"/>
                <w:szCs w:val="21"/>
              </w:rPr>
              <w:t>指标名称</w:t>
            </w:r>
          </w:p>
        </w:tc>
        <w:tc>
          <w:tcPr>
            <w:tcW w:w="231" w:type="pct"/>
            <w:shd w:val="clear" w:color="auto" w:fill="BEC0C3"/>
            <w:vAlign w:val="center"/>
          </w:tcPr>
          <w:p w14:paraId="1BE38E27">
            <w:pPr>
              <w:pStyle w:val="11"/>
              <w:spacing w:before="57" w:line="219" w:lineRule="auto"/>
              <w:ind w:left="121"/>
              <w:jc w:val="center"/>
              <w:rPr>
                <w:rFonts w:hint="eastAsia" w:ascii="仿宋" w:hAnsi="仿宋" w:eastAsia="仿宋" w:cs="仿宋"/>
                <w:sz w:val="21"/>
                <w:szCs w:val="21"/>
              </w:rPr>
            </w:pPr>
            <w:r>
              <w:rPr>
                <w:rFonts w:hint="eastAsia" w:ascii="仿宋" w:hAnsi="仿宋" w:eastAsia="仿宋" w:cs="仿宋"/>
                <w:spacing w:val="-2"/>
                <w:sz w:val="21"/>
                <w:szCs w:val="21"/>
              </w:rPr>
              <w:t>标准值</w:t>
            </w:r>
          </w:p>
        </w:tc>
        <w:tc>
          <w:tcPr>
            <w:tcW w:w="151" w:type="pct"/>
            <w:shd w:val="clear" w:color="auto" w:fill="BEBFC3"/>
            <w:vAlign w:val="center"/>
          </w:tcPr>
          <w:p w14:paraId="1DDD9A01">
            <w:pPr>
              <w:pStyle w:val="11"/>
              <w:spacing w:before="57" w:line="219" w:lineRule="auto"/>
              <w:ind w:left="113"/>
              <w:jc w:val="center"/>
              <w:rPr>
                <w:rFonts w:hint="eastAsia" w:ascii="仿宋" w:hAnsi="仿宋" w:eastAsia="仿宋" w:cs="仿宋"/>
                <w:sz w:val="21"/>
                <w:szCs w:val="21"/>
              </w:rPr>
            </w:pPr>
            <w:r>
              <w:rPr>
                <w:rFonts w:hint="eastAsia" w:ascii="仿宋" w:hAnsi="仿宋" w:eastAsia="仿宋" w:cs="仿宋"/>
                <w:spacing w:val="-3"/>
                <w:sz w:val="21"/>
                <w:szCs w:val="21"/>
              </w:rPr>
              <w:t>分值</w:t>
            </w:r>
          </w:p>
        </w:tc>
        <w:tc>
          <w:tcPr>
            <w:tcW w:w="698" w:type="pct"/>
            <w:shd w:val="clear" w:color="auto" w:fill="B9BCBF"/>
            <w:vAlign w:val="center"/>
          </w:tcPr>
          <w:p w14:paraId="284D8D79">
            <w:pPr>
              <w:pStyle w:val="11"/>
              <w:spacing w:before="57" w:line="219" w:lineRule="auto"/>
              <w:ind w:left="493"/>
              <w:jc w:val="center"/>
              <w:rPr>
                <w:rFonts w:hint="eastAsia" w:ascii="仿宋" w:hAnsi="仿宋" w:eastAsia="仿宋" w:cs="仿宋"/>
                <w:sz w:val="21"/>
                <w:szCs w:val="21"/>
              </w:rPr>
            </w:pPr>
            <w:r>
              <w:rPr>
                <w:rFonts w:hint="eastAsia" w:ascii="仿宋" w:hAnsi="仿宋" w:eastAsia="仿宋" w:cs="仿宋"/>
                <w:spacing w:val="3"/>
                <w:sz w:val="21"/>
                <w:szCs w:val="21"/>
              </w:rPr>
              <w:t>指标解释说明</w:t>
            </w:r>
          </w:p>
        </w:tc>
        <w:tc>
          <w:tcPr>
            <w:tcW w:w="1608" w:type="pct"/>
            <w:vMerge w:val="continue"/>
            <w:tcBorders>
              <w:top w:val="nil"/>
            </w:tcBorders>
            <w:vAlign w:val="center"/>
          </w:tcPr>
          <w:p w14:paraId="442C191D">
            <w:pPr>
              <w:jc w:val="center"/>
              <w:rPr>
                <w:rFonts w:hint="eastAsia" w:ascii="仿宋" w:hAnsi="仿宋" w:eastAsia="仿宋" w:cs="仿宋"/>
                <w:sz w:val="21"/>
                <w:szCs w:val="21"/>
              </w:rPr>
            </w:pPr>
          </w:p>
        </w:tc>
        <w:tc>
          <w:tcPr>
            <w:tcW w:w="1240" w:type="pct"/>
            <w:vMerge w:val="continue"/>
            <w:tcBorders>
              <w:top w:val="nil"/>
            </w:tcBorders>
            <w:vAlign w:val="center"/>
          </w:tcPr>
          <w:p w14:paraId="0FD29B71">
            <w:pPr>
              <w:jc w:val="center"/>
              <w:rPr>
                <w:rFonts w:hint="eastAsia" w:ascii="仿宋" w:hAnsi="仿宋" w:eastAsia="仿宋" w:cs="仿宋"/>
                <w:sz w:val="21"/>
                <w:szCs w:val="21"/>
              </w:rPr>
            </w:pPr>
          </w:p>
        </w:tc>
        <w:tc>
          <w:tcPr>
            <w:tcW w:w="233" w:type="pct"/>
            <w:vMerge w:val="continue"/>
            <w:tcBorders>
              <w:top w:val="nil"/>
            </w:tcBorders>
            <w:vAlign w:val="center"/>
          </w:tcPr>
          <w:p w14:paraId="2B403857">
            <w:pPr>
              <w:jc w:val="center"/>
              <w:rPr>
                <w:rFonts w:hint="eastAsia" w:ascii="仿宋" w:hAnsi="仿宋" w:eastAsia="仿宋" w:cs="仿宋"/>
                <w:sz w:val="21"/>
                <w:szCs w:val="21"/>
              </w:rPr>
            </w:pPr>
          </w:p>
        </w:tc>
      </w:tr>
      <w:tr w14:paraId="3AAFCA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77" w:hRule="atLeast"/>
          <w:jc w:val="center"/>
        </w:trPr>
        <w:tc>
          <w:tcPr>
            <w:tcW w:w="254" w:type="pct"/>
            <w:vMerge w:val="restart"/>
            <w:vAlign w:val="center"/>
          </w:tcPr>
          <w:p w14:paraId="10E0F617">
            <w:pPr>
              <w:pStyle w:val="11"/>
              <w:jc w:val="center"/>
              <w:rPr>
                <w:rFonts w:hint="eastAsia" w:ascii="仿宋_GB2312" w:hAnsi="仿宋_GB2312" w:eastAsia="仿宋_GB2312" w:cs="仿宋_GB2312"/>
                <w:sz w:val="18"/>
                <w:szCs w:val="18"/>
                <w:highlight w:val="none"/>
              </w:rPr>
            </w:pPr>
            <w:r>
              <w:rPr>
                <w:rFonts w:hint="eastAsia" w:ascii="仿宋_GB2312" w:hAnsi="仿宋_GB2312" w:eastAsia="仿宋_GB2312" w:cs="仿宋_GB2312"/>
                <w:sz w:val="18"/>
                <w:szCs w:val="18"/>
                <w:highlight w:val="none"/>
              </w:rPr>
              <w:t>A决策</w:t>
            </w:r>
          </w:p>
          <w:p w14:paraId="3B95DF67">
            <w:pPr>
              <w:pStyle w:val="11"/>
              <w:jc w:val="center"/>
              <w:rPr>
                <w:rFonts w:hint="eastAsia" w:ascii="仿宋_GB2312" w:hAnsi="仿宋_GB2312" w:eastAsia="仿宋_GB2312" w:cs="仿宋_GB2312"/>
                <w:sz w:val="18"/>
                <w:szCs w:val="18"/>
                <w:highlight w:val="none"/>
              </w:rPr>
            </w:pPr>
            <w:r>
              <w:rPr>
                <w:rFonts w:hint="eastAsia" w:ascii="仿宋_GB2312" w:hAnsi="仿宋_GB2312" w:eastAsia="仿宋_GB2312" w:cs="仿宋_GB2312"/>
                <w:sz w:val="18"/>
                <w:szCs w:val="18"/>
                <w:highlight w:val="none"/>
              </w:rPr>
              <w:t>(6)</w:t>
            </w:r>
          </w:p>
        </w:tc>
        <w:tc>
          <w:tcPr>
            <w:tcW w:w="297" w:type="pct"/>
            <w:vMerge w:val="restart"/>
            <w:vAlign w:val="center"/>
          </w:tcPr>
          <w:p w14:paraId="6A98B0FF">
            <w:pPr>
              <w:pStyle w:val="11"/>
              <w:jc w:val="center"/>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rPr>
              <w:t>A</w:t>
            </w:r>
            <w:r>
              <w:rPr>
                <w:rFonts w:hint="eastAsia" w:ascii="仿宋_GB2312" w:hAnsi="仿宋_GB2312" w:eastAsia="仿宋_GB2312" w:cs="仿宋_GB2312"/>
                <w:sz w:val="18"/>
                <w:szCs w:val="18"/>
                <w:highlight w:val="none"/>
                <w:lang w:val="en-US" w:eastAsia="zh-CN"/>
              </w:rPr>
              <w:t>1</w:t>
            </w:r>
          </w:p>
          <w:p w14:paraId="586B8E4B">
            <w:pPr>
              <w:pStyle w:val="11"/>
              <w:jc w:val="center"/>
              <w:rPr>
                <w:rFonts w:hint="eastAsia" w:ascii="仿宋_GB2312" w:hAnsi="仿宋_GB2312" w:eastAsia="仿宋_GB2312" w:cs="仿宋_GB2312"/>
                <w:sz w:val="18"/>
                <w:szCs w:val="18"/>
                <w:highlight w:val="none"/>
              </w:rPr>
            </w:pPr>
            <w:r>
              <w:rPr>
                <w:rFonts w:hint="eastAsia" w:ascii="仿宋_GB2312" w:hAnsi="仿宋_GB2312" w:eastAsia="仿宋_GB2312" w:cs="仿宋_GB2312"/>
                <w:sz w:val="18"/>
                <w:szCs w:val="18"/>
                <w:highlight w:val="none"/>
              </w:rPr>
              <w:t>计划制定(</w:t>
            </w:r>
            <w:r>
              <w:rPr>
                <w:rFonts w:hint="eastAsia" w:ascii="仿宋_GB2312" w:hAnsi="仿宋_GB2312" w:eastAsia="仿宋_GB2312" w:cs="仿宋_GB2312"/>
                <w:sz w:val="18"/>
                <w:szCs w:val="18"/>
                <w:highlight w:val="none"/>
                <w:lang w:val="en-US" w:eastAsia="zh-CN"/>
              </w:rPr>
              <w:t>2</w:t>
            </w:r>
            <w:r>
              <w:rPr>
                <w:rFonts w:hint="eastAsia" w:ascii="仿宋_GB2312" w:hAnsi="仿宋_GB2312" w:eastAsia="仿宋_GB2312" w:cs="仿宋_GB2312"/>
                <w:sz w:val="18"/>
                <w:szCs w:val="18"/>
                <w:highlight w:val="none"/>
              </w:rPr>
              <w:t>)</w:t>
            </w:r>
          </w:p>
        </w:tc>
        <w:tc>
          <w:tcPr>
            <w:tcW w:w="284" w:type="pct"/>
            <w:vAlign w:val="center"/>
          </w:tcPr>
          <w:p w14:paraId="08EEEDB5">
            <w:pPr>
              <w:pStyle w:val="11"/>
              <w:jc w:val="center"/>
              <w:rPr>
                <w:rFonts w:hint="eastAsia" w:ascii="仿宋_GB2312" w:hAnsi="仿宋_GB2312" w:eastAsia="仿宋_GB2312" w:cs="仿宋_GB2312"/>
                <w:sz w:val="18"/>
                <w:szCs w:val="18"/>
                <w:highlight w:val="none"/>
              </w:rPr>
            </w:pPr>
          </w:p>
          <w:p w14:paraId="7EDD8B69">
            <w:pPr>
              <w:pStyle w:val="11"/>
              <w:jc w:val="center"/>
              <w:rPr>
                <w:rFonts w:hint="eastAsia" w:ascii="仿宋_GB2312" w:hAnsi="仿宋_GB2312" w:eastAsia="仿宋_GB2312" w:cs="仿宋_GB2312"/>
                <w:sz w:val="18"/>
                <w:szCs w:val="18"/>
                <w:highlight w:val="none"/>
              </w:rPr>
            </w:pPr>
            <w:r>
              <w:rPr>
                <w:rFonts w:hint="eastAsia" w:ascii="仿宋_GB2312" w:hAnsi="仿宋_GB2312" w:eastAsia="仿宋_GB2312" w:cs="仿宋_GB2312"/>
                <w:sz w:val="18"/>
                <w:szCs w:val="18"/>
                <w:highlight w:val="none"/>
              </w:rPr>
              <w:t>A</w:t>
            </w:r>
            <w:r>
              <w:rPr>
                <w:rFonts w:hint="eastAsia" w:ascii="仿宋_GB2312" w:hAnsi="仿宋_GB2312" w:eastAsia="仿宋_GB2312" w:cs="仿宋_GB2312"/>
                <w:sz w:val="18"/>
                <w:szCs w:val="18"/>
                <w:highlight w:val="none"/>
                <w:lang w:val="en-US" w:eastAsia="zh-CN"/>
              </w:rPr>
              <w:t>1</w:t>
            </w:r>
            <w:r>
              <w:rPr>
                <w:rFonts w:hint="eastAsia" w:ascii="仿宋_GB2312" w:hAnsi="仿宋_GB2312" w:eastAsia="仿宋_GB2312" w:cs="仿宋_GB2312"/>
                <w:sz w:val="18"/>
                <w:szCs w:val="18"/>
                <w:highlight w:val="none"/>
              </w:rPr>
              <w:t>1</w:t>
            </w:r>
          </w:p>
          <w:p w14:paraId="41C3C4A6">
            <w:pPr>
              <w:pStyle w:val="11"/>
              <w:jc w:val="center"/>
              <w:rPr>
                <w:rFonts w:hint="eastAsia" w:ascii="仿宋_GB2312" w:hAnsi="仿宋_GB2312" w:eastAsia="仿宋_GB2312" w:cs="仿宋_GB2312"/>
                <w:sz w:val="18"/>
                <w:szCs w:val="18"/>
                <w:highlight w:val="none"/>
              </w:rPr>
            </w:pPr>
            <w:r>
              <w:rPr>
                <w:rFonts w:hint="eastAsia" w:ascii="仿宋_GB2312" w:hAnsi="仿宋_GB2312" w:eastAsia="仿宋_GB2312" w:cs="仿宋_GB2312"/>
                <w:sz w:val="18"/>
                <w:szCs w:val="18"/>
                <w:highlight w:val="none"/>
              </w:rPr>
              <w:t>中长期规划制定健全性</w:t>
            </w:r>
          </w:p>
        </w:tc>
        <w:tc>
          <w:tcPr>
            <w:tcW w:w="231" w:type="pct"/>
            <w:vAlign w:val="center"/>
          </w:tcPr>
          <w:p w14:paraId="67190FFA">
            <w:pPr>
              <w:pStyle w:val="11"/>
              <w:jc w:val="center"/>
              <w:rPr>
                <w:rFonts w:hint="eastAsia" w:ascii="仿宋_GB2312" w:hAnsi="仿宋_GB2312" w:eastAsia="仿宋_GB2312" w:cs="仿宋_GB2312"/>
                <w:sz w:val="18"/>
                <w:szCs w:val="18"/>
                <w:highlight w:val="none"/>
              </w:rPr>
            </w:pPr>
            <w:r>
              <w:rPr>
                <w:rFonts w:hint="eastAsia" w:ascii="仿宋_GB2312" w:hAnsi="仿宋_GB2312" w:eastAsia="仿宋_GB2312" w:cs="仿宋_GB2312"/>
                <w:sz w:val="18"/>
                <w:szCs w:val="18"/>
                <w:highlight w:val="none"/>
              </w:rPr>
              <w:t>健全</w:t>
            </w:r>
          </w:p>
        </w:tc>
        <w:tc>
          <w:tcPr>
            <w:tcW w:w="151" w:type="pct"/>
            <w:vAlign w:val="center"/>
          </w:tcPr>
          <w:p w14:paraId="23394712">
            <w:pPr>
              <w:pStyle w:val="11"/>
              <w:jc w:val="center"/>
              <w:rPr>
                <w:rFonts w:hint="eastAsia" w:ascii="仿宋_GB2312" w:hAnsi="仿宋_GB2312" w:eastAsia="仿宋_GB2312" w:cs="仿宋_GB2312"/>
                <w:sz w:val="18"/>
                <w:szCs w:val="18"/>
                <w:highlight w:val="none"/>
              </w:rPr>
            </w:pPr>
            <w:r>
              <w:rPr>
                <w:rFonts w:hint="eastAsia" w:ascii="仿宋_GB2312" w:hAnsi="仿宋_GB2312" w:eastAsia="仿宋_GB2312" w:cs="仿宋_GB2312"/>
                <w:sz w:val="18"/>
                <w:szCs w:val="18"/>
                <w:highlight w:val="none"/>
              </w:rPr>
              <w:t>1</w:t>
            </w:r>
          </w:p>
        </w:tc>
        <w:tc>
          <w:tcPr>
            <w:tcW w:w="698" w:type="pct"/>
            <w:vAlign w:val="center"/>
          </w:tcPr>
          <w:p w14:paraId="12BD2F89">
            <w:pPr>
              <w:pStyle w:val="11"/>
              <w:rPr>
                <w:rFonts w:hint="eastAsia" w:ascii="仿宋_GB2312" w:hAnsi="仿宋_GB2312" w:eastAsia="仿宋_GB2312" w:cs="仿宋_GB2312"/>
                <w:sz w:val="18"/>
                <w:szCs w:val="18"/>
                <w:highlight w:val="none"/>
                <w:lang w:eastAsia="zh-CN"/>
              </w:rPr>
            </w:pPr>
          </w:p>
          <w:p w14:paraId="2846039F">
            <w:pPr>
              <w:pStyle w:val="11"/>
              <w:rPr>
                <w:rFonts w:hint="eastAsia" w:ascii="仿宋_GB2312" w:hAnsi="仿宋_GB2312" w:eastAsia="仿宋_GB2312" w:cs="仿宋_GB2312"/>
                <w:sz w:val="18"/>
                <w:szCs w:val="18"/>
                <w:highlight w:val="none"/>
                <w:lang w:eastAsia="zh-CN"/>
              </w:rPr>
            </w:pPr>
          </w:p>
          <w:p w14:paraId="62C250E2">
            <w:pPr>
              <w:pStyle w:val="11"/>
              <w:rPr>
                <w:rFonts w:hint="eastAsia" w:ascii="仿宋_GB2312" w:hAnsi="仿宋_GB2312" w:eastAsia="仿宋_GB2312" w:cs="仿宋_GB2312"/>
                <w:sz w:val="18"/>
                <w:szCs w:val="18"/>
                <w:highlight w:val="none"/>
                <w:lang w:eastAsia="zh-CN"/>
              </w:rPr>
            </w:pPr>
          </w:p>
          <w:p w14:paraId="027B1364">
            <w:pPr>
              <w:pStyle w:val="11"/>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部门中长期规划制定是否明确、且与部门职能相匹配。</w:t>
            </w:r>
          </w:p>
        </w:tc>
        <w:tc>
          <w:tcPr>
            <w:tcW w:w="1608" w:type="pct"/>
            <w:vAlign w:val="center"/>
          </w:tcPr>
          <w:p w14:paraId="17F9994B">
            <w:pPr>
              <w:pStyle w:val="11"/>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评价要点：</w:t>
            </w:r>
          </w:p>
          <w:p w14:paraId="264A1359">
            <w:pPr>
              <w:pStyle w:val="11"/>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1.考察部门是否制定了明确的中长期规划，包括总体目标工作内容、时间进度等，部门规划是否涵盖了部门全部职能，并与部门职能相匹配；</w:t>
            </w:r>
          </w:p>
          <w:p w14:paraId="0DFB58F2">
            <w:pPr>
              <w:pStyle w:val="11"/>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评分规则：每个要点执行情况分为达成、部分达成、未达成三档，分别按分值的100%-80%(含)、80%-60%(含)、60%-0%合理确定分值。</w:t>
            </w:r>
          </w:p>
        </w:tc>
        <w:tc>
          <w:tcPr>
            <w:tcW w:w="1240" w:type="pct"/>
            <w:vAlign w:val="center"/>
          </w:tcPr>
          <w:p w14:paraId="0E087BAC">
            <w:pPr>
              <w:pStyle w:val="11"/>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1.部门制定了明确的中长期规划，包括总体目标和工作内容，达成；</w:t>
            </w:r>
          </w:p>
          <w:p w14:paraId="0527685F">
            <w:pPr>
              <w:pStyle w:val="11"/>
              <w:rPr>
                <w:rFonts w:hint="eastAsia" w:ascii="仿宋_GB2312" w:hAnsi="仿宋_GB2312" w:eastAsia="仿宋_GB2312" w:cs="仿宋_GB2312"/>
                <w:sz w:val="18"/>
                <w:szCs w:val="18"/>
                <w:highlight w:val="none"/>
                <w:lang w:eastAsia="zh-CN"/>
              </w:rPr>
            </w:pPr>
          </w:p>
        </w:tc>
        <w:tc>
          <w:tcPr>
            <w:tcW w:w="233" w:type="pct"/>
            <w:vAlign w:val="center"/>
          </w:tcPr>
          <w:p w14:paraId="71917462">
            <w:pPr>
              <w:pStyle w:val="11"/>
              <w:jc w:val="center"/>
              <w:rPr>
                <w:rFonts w:hint="eastAsia" w:ascii="仿宋_GB2312" w:hAnsi="仿宋_GB2312" w:eastAsia="仿宋_GB2312" w:cs="仿宋_GB2312"/>
                <w:sz w:val="18"/>
                <w:szCs w:val="18"/>
                <w:highlight w:val="none"/>
              </w:rPr>
            </w:pPr>
            <w:r>
              <w:rPr>
                <w:rFonts w:hint="eastAsia" w:ascii="仿宋_GB2312" w:hAnsi="仿宋_GB2312" w:eastAsia="仿宋_GB2312" w:cs="仿宋_GB2312"/>
                <w:sz w:val="18"/>
                <w:szCs w:val="18"/>
                <w:highlight w:val="none"/>
                <w:lang w:val="en-US" w:eastAsia="zh-CN"/>
              </w:rPr>
              <w:t>1</w:t>
            </w:r>
          </w:p>
        </w:tc>
      </w:tr>
      <w:tr w14:paraId="33E443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51" w:hRule="atLeast"/>
          <w:jc w:val="center"/>
        </w:trPr>
        <w:tc>
          <w:tcPr>
            <w:tcW w:w="254" w:type="pct"/>
            <w:vMerge w:val="continue"/>
            <w:vAlign w:val="center"/>
          </w:tcPr>
          <w:p w14:paraId="047C311A">
            <w:pPr>
              <w:pStyle w:val="11"/>
              <w:jc w:val="center"/>
              <w:rPr>
                <w:rFonts w:hint="eastAsia" w:ascii="仿宋_GB2312" w:hAnsi="仿宋_GB2312" w:eastAsia="仿宋_GB2312" w:cs="仿宋_GB2312"/>
                <w:sz w:val="18"/>
                <w:szCs w:val="18"/>
                <w:highlight w:val="none"/>
              </w:rPr>
            </w:pPr>
          </w:p>
        </w:tc>
        <w:tc>
          <w:tcPr>
            <w:tcW w:w="297" w:type="pct"/>
            <w:vMerge w:val="continue"/>
            <w:vAlign w:val="center"/>
          </w:tcPr>
          <w:p w14:paraId="11AA4732">
            <w:pPr>
              <w:pStyle w:val="11"/>
              <w:jc w:val="center"/>
              <w:rPr>
                <w:rFonts w:hint="eastAsia" w:ascii="仿宋_GB2312" w:hAnsi="仿宋_GB2312" w:eastAsia="仿宋_GB2312" w:cs="仿宋_GB2312"/>
                <w:sz w:val="18"/>
                <w:szCs w:val="18"/>
                <w:highlight w:val="none"/>
              </w:rPr>
            </w:pPr>
          </w:p>
        </w:tc>
        <w:tc>
          <w:tcPr>
            <w:tcW w:w="284" w:type="pct"/>
            <w:vAlign w:val="center"/>
          </w:tcPr>
          <w:p w14:paraId="6E3C0675">
            <w:pPr>
              <w:pStyle w:val="11"/>
              <w:jc w:val="center"/>
              <w:rPr>
                <w:rFonts w:hint="eastAsia" w:ascii="仿宋_GB2312" w:hAnsi="仿宋_GB2312" w:eastAsia="仿宋_GB2312" w:cs="仿宋_GB2312"/>
                <w:sz w:val="18"/>
                <w:szCs w:val="18"/>
                <w:highlight w:val="none"/>
              </w:rPr>
            </w:pPr>
          </w:p>
          <w:p w14:paraId="2685D4AF">
            <w:pPr>
              <w:pStyle w:val="11"/>
              <w:jc w:val="center"/>
              <w:rPr>
                <w:rFonts w:hint="default" w:ascii="仿宋_GB2312" w:hAnsi="仿宋_GB2312" w:eastAsia="仿宋_GB2312" w:cs="仿宋_GB2312"/>
                <w:sz w:val="18"/>
                <w:szCs w:val="18"/>
                <w:highlight w:val="none"/>
                <w:lang w:val="en-US" w:eastAsia="zh-CN"/>
              </w:rPr>
            </w:pPr>
            <w:r>
              <w:rPr>
                <w:rFonts w:hint="eastAsia" w:ascii="仿宋_GB2312" w:hAnsi="仿宋_GB2312" w:eastAsia="仿宋_GB2312" w:cs="仿宋_GB2312"/>
                <w:sz w:val="18"/>
                <w:szCs w:val="18"/>
                <w:highlight w:val="none"/>
              </w:rPr>
              <w:t>A</w:t>
            </w:r>
            <w:r>
              <w:rPr>
                <w:rFonts w:hint="eastAsia" w:ascii="仿宋_GB2312" w:hAnsi="仿宋_GB2312" w:eastAsia="仿宋_GB2312" w:cs="仿宋_GB2312"/>
                <w:sz w:val="18"/>
                <w:szCs w:val="18"/>
                <w:highlight w:val="none"/>
                <w:lang w:val="en-US" w:eastAsia="zh-CN"/>
              </w:rPr>
              <w:t>12</w:t>
            </w:r>
          </w:p>
          <w:p w14:paraId="41A36CFC">
            <w:pPr>
              <w:pStyle w:val="11"/>
              <w:jc w:val="center"/>
              <w:rPr>
                <w:rFonts w:hint="eastAsia" w:ascii="仿宋_GB2312" w:hAnsi="仿宋_GB2312" w:eastAsia="仿宋_GB2312" w:cs="仿宋_GB2312"/>
                <w:sz w:val="18"/>
                <w:szCs w:val="18"/>
                <w:highlight w:val="none"/>
              </w:rPr>
            </w:pPr>
            <w:r>
              <w:rPr>
                <w:rFonts w:hint="eastAsia" w:ascii="仿宋_GB2312" w:hAnsi="仿宋_GB2312" w:eastAsia="仿宋_GB2312" w:cs="仿宋_GB2312"/>
                <w:sz w:val="18"/>
                <w:szCs w:val="18"/>
                <w:highlight w:val="none"/>
              </w:rPr>
              <w:t>工作计划制定健全性</w:t>
            </w:r>
          </w:p>
        </w:tc>
        <w:tc>
          <w:tcPr>
            <w:tcW w:w="231" w:type="pct"/>
            <w:vAlign w:val="center"/>
          </w:tcPr>
          <w:p w14:paraId="0216A8F9">
            <w:pPr>
              <w:pStyle w:val="11"/>
              <w:jc w:val="center"/>
              <w:rPr>
                <w:rFonts w:hint="eastAsia" w:ascii="仿宋_GB2312" w:hAnsi="仿宋_GB2312" w:eastAsia="仿宋_GB2312" w:cs="仿宋_GB2312"/>
                <w:sz w:val="18"/>
                <w:szCs w:val="18"/>
                <w:highlight w:val="none"/>
              </w:rPr>
            </w:pPr>
            <w:r>
              <w:rPr>
                <w:rFonts w:hint="eastAsia" w:ascii="仿宋_GB2312" w:hAnsi="仿宋_GB2312" w:eastAsia="仿宋_GB2312" w:cs="仿宋_GB2312"/>
                <w:sz w:val="18"/>
                <w:szCs w:val="18"/>
                <w:highlight w:val="none"/>
              </w:rPr>
              <w:t>健全</w:t>
            </w:r>
          </w:p>
        </w:tc>
        <w:tc>
          <w:tcPr>
            <w:tcW w:w="151" w:type="pct"/>
            <w:vAlign w:val="center"/>
          </w:tcPr>
          <w:p w14:paraId="53F13E72">
            <w:pPr>
              <w:pStyle w:val="11"/>
              <w:jc w:val="center"/>
              <w:rPr>
                <w:rFonts w:hint="eastAsia" w:ascii="仿宋_GB2312" w:hAnsi="仿宋_GB2312" w:eastAsia="仿宋_GB2312" w:cs="仿宋_GB2312"/>
                <w:sz w:val="18"/>
                <w:szCs w:val="18"/>
                <w:highlight w:val="none"/>
              </w:rPr>
            </w:pPr>
            <w:r>
              <w:rPr>
                <w:rFonts w:hint="eastAsia" w:ascii="仿宋_GB2312" w:hAnsi="仿宋_GB2312" w:eastAsia="仿宋_GB2312" w:cs="仿宋_GB2312"/>
                <w:sz w:val="18"/>
                <w:szCs w:val="18"/>
                <w:highlight w:val="none"/>
              </w:rPr>
              <w:t>1</w:t>
            </w:r>
          </w:p>
        </w:tc>
        <w:tc>
          <w:tcPr>
            <w:tcW w:w="698" w:type="pct"/>
            <w:vAlign w:val="center"/>
          </w:tcPr>
          <w:p w14:paraId="5F75E533">
            <w:pPr>
              <w:pStyle w:val="11"/>
              <w:rPr>
                <w:rFonts w:hint="eastAsia" w:ascii="仿宋_GB2312" w:hAnsi="仿宋_GB2312" w:eastAsia="仿宋_GB2312" w:cs="仿宋_GB2312"/>
                <w:sz w:val="18"/>
                <w:szCs w:val="18"/>
                <w:highlight w:val="none"/>
                <w:lang w:eastAsia="zh-CN"/>
              </w:rPr>
            </w:pPr>
          </w:p>
          <w:p w14:paraId="6282FE8A">
            <w:pPr>
              <w:pStyle w:val="11"/>
              <w:rPr>
                <w:rFonts w:hint="eastAsia" w:ascii="仿宋_GB2312" w:hAnsi="仿宋_GB2312" w:eastAsia="仿宋_GB2312" w:cs="仿宋_GB2312"/>
                <w:sz w:val="18"/>
                <w:szCs w:val="18"/>
                <w:highlight w:val="none"/>
                <w:lang w:eastAsia="zh-CN"/>
              </w:rPr>
            </w:pPr>
          </w:p>
          <w:p w14:paraId="08DB390C">
            <w:pPr>
              <w:pStyle w:val="11"/>
              <w:rPr>
                <w:rFonts w:hint="eastAsia" w:ascii="仿宋_GB2312" w:hAnsi="仿宋_GB2312" w:eastAsia="仿宋_GB2312" w:cs="仿宋_GB2312"/>
                <w:sz w:val="18"/>
                <w:szCs w:val="18"/>
                <w:highlight w:val="none"/>
                <w:lang w:eastAsia="zh-CN"/>
              </w:rPr>
            </w:pPr>
          </w:p>
          <w:p w14:paraId="4E0CED99">
            <w:pPr>
              <w:pStyle w:val="11"/>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年度工作计划制定是否明确、具体、可操作，且与部门职能和中长期规划相匹配。</w:t>
            </w:r>
          </w:p>
        </w:tc>
        <w:tc>
          <w:tcPr>
            <w:tcW w:w="1608" w:type="pct"/>
            <w:vAlign w:val="center"/>
          </w:tcPr>
          <w:p w14:paraId="0CF09547">
            <w:pPr>
              <w:pStyle w:val="11"/>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评价要点：</w:t>
            </w:r>
          </w:p>
          <w:p w14:paraId="099FBFD5">
            <w:pPr>
              <w:pStyle w:val="11"/>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1.考察部门是否具有明确的年度工作计划，包括总体目标、实施内容、时间、资金、人员等，年度工作计划是否与部门中长期战略相衔接。</w:t>
            </w:r>
          </w:p>
          <w:p w14:paraId="769D30B8">
            <w:pPr>
              <w:pStyle w:val="11"/>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评分规则：每个要点执行情况分为达成、部分达成、未达成三档，分别按分值的100%-80%(含)、80%-60%(含)、60%-0%合理确定分值。</w:t>
            </w:r>
          </w:p>
        </w:tc>
        <w:tc>
          <w:tcPr>
            <w:tcW w:w="1240" w:type="pct"/>
            <w:vAlign w:val="center"/>
          </w:tcPr>
          <w:p w14:paraId="6464BFE4">
            <w:pPr>
              <w:pStyle w:val="11"/>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val="en-US" w:eastAsia="zh-CN"/>
              </w:rPr>
              <w:t>1</w:t>
            </w:r>
            <w:r>
              <w:rPr>
                <w:rFonts w:hint="eastAsia" w:ascii="仿宋_GB2312" w:hAnsi="仿宋_GB2312" w:eastAsia="仿宋_GB2312" w:cs="仿宋_GB2312"/>
                <w:sz w:val="18"/>
                <w:szCs w:val="18"/>
                <w:highlight w:val="none"/>
                <w:lang w:eastAsia="zh-CN"/>
              </w:rPr>
              <w:t>.部门具有明确的年度工作计划，包括总体目标、实施内容、时间、资金、人员等，年度工作计划与部门中长期战略相衔接，达成。</w:t>
            </w:r>
          </w:p>
        </w:tc>
        <w:tc>
          <w:tcPr>
            <w:tcW w:w="233" w:type="pct"/>
            <w:vAlign w:val="center"/>
          </w:tcPr>
          <w:p w14:paraId="4D946AF4">
            <w:pPr>
              <w:pStyle w:val="11"/>
              <w:jc w:val="center"/>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val="en-US" w:eastAsia="zh-CN"/>
              </w:rPr>
              <w:t>1</w:t>
            </w:r>
          </w:p>
        </w:tc>
      </w:tr>
      <w:tr w14:paraId="6511D5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52" w:hRule="atLeast"/>
          <w:jc w:val="center"/>
        </w:trPr>
        <w:tc>
          <w:tcPr>
            <w:tcW w:w="254" w:type="pct"/>
            <w:vMerge w:val="continue"/>
            <w:vAlign w:val="center"/>
          </w:tcPr>
          <w:p w14:paraId="7DAF046C">
            <w:pPr>
              <w:pStyle w:val="11"/>
              <w:jc w:val="center"/>
              <w:rPr>
                <w:rFonts w:hint="eastAsia" w:ascii="仿宋_GB2312" w:hAnsi="仿宋_GB2312" w:eastAsia="仿宋_GB2312" w:cs="仿宋_GB2312"/>
                <w:sz w:val="18"/>
                <w:szCs w:val="18"/>
                <w:highlight w:val="none"/>
              </w:rPr>
            </w:pPr>
          </w:p>
        </w:tc>
        <w:tc>
          <w:tcPr>
            <w:tcW w:w="297" w:type="pct"/>
            <w:vMerge w:val="restart"/>
            <w:vAlign w:val="center"/>
          </w:tcPr>
          <w:p w14:paraId="422821D8">
            <w:pPr>
              <w:pStyle w:val="11"/>
              <w:jc w:val="center"/>
              <w:rPr>
                <w:rFonts w:hint="eastAsia" w:ascii="仿宋_GB2312" w:hAnsi="仿宋_GB2312" w:eastAsia="仿宋_GB2312" w:cs="仿宋_GB2312"/>
                <w:sz w:val="18"/>
                <w:szCs w:val="18"/>
                <w:highlight w:val="none"/>
                <w:lang w:val="en-US" w:eastAsia="zh-CN"/>
              </w:rPr>
            </w:pPr>
            <w:r>
              <w:rPr>
                <w:rFonts w:hint="eastAsia" w:ascii="仿宋_GB2312" w:hAnsi="仿宋_GB2312" w:eastAsia="仿宋_GB2312" w:cs="仿宋_GB2312"/>
                <w:sz w:val="18"/>
                <w:szCs w:val="18"/>
                <w:highlight w:val="none"/>
              </w:rPr>
              <w:t>A</w:t>
            </w:r>
            <w:r>
              <w:rPr>
                <w:rFonts w:hint="eastAsia" w:ascii="仿宋_GB2312" w:hAnsi="仿宋_GB2312" w:eastAsia="仿宋_GB2312" w:cs="仿宋_GB2312"/>
                <w:sz w:val="18"/>
                <w:szCs w:val="18"/>
                <w:highlight w:val="none"/>
                <w:lang w:val="en-US" w:eastAsia="zh-CN"/>
              </w:rPr>
              <w:t>2</w:t>
            </w:r>
          </w:p>
          <w:p w14:paraId="58097341">
            <w:pPr>
              <w:pStyle w:val="11"/>
              <w:jc w:val="center"/>
              <w:rPr>
                <w:rFonts w:hint="eastAsia" w:ascii="仿宋_GB2312" w:hAnsi="仿宋_GB2312" w:eastAsia="仿宋_GB2312" w:cs="仿宋_GB2312"/>
                <w:sz w:val="18"/>
                <w:szCs w:val="18"/>
                <w:highlight w:val="none"/>
              </w:rPr>
            </w:pPr>
            <w:r>
              <w:rPr>
                <w:rFonts w:hint="eastAsia" w:ascii="仿宋_GB2312" w:hAnsi="仿宋_GB2312" w:eastAsia="仿宋_GB2312" w:cs="仿宋_GB2312"/>
                <w:sz w:val="18"/>
                <w:szCs w:val="18"/>
                <w:highlight w:val="none"/>
              </w:rPr>
              <w:t>目标设定</w:t>
            </w:r>
          </w:p>
          <w:p w14:paraId="33F5BC99">
            <w:pPr>
              <w:pStyle w:val="11"/>
              <w:jc w:val="center"/>
              <w:rPr>
                <w:rFonts w:hint="eastAsia" w:ascii="仿宋_GB2312" w:hAnsi="仿宋_GB2312" w:eastAsia="仿宋_GB2312" w:cs="仿宋_GB2312"/>
                <w:sz w:val="18"/>
                <w:szCs w:val="18"/>
                <w:highlight w:val="none"/>
              </w:rPr>
            </w:pPr>
            <w:r>
              <w:rPr>
                <w:rFonts w:hint="eastAsia" w:ascii="仿宋_GB2312" w:hAnsi="仿宋_GB2312" w:eastAsia="仿宋_GB2312" w:cs="仿宋_GB2312"/>
                <w:sz w:val="18"/>
                <w:szCs w:val="18"/>
                <w:highlight w:val="none"/>
              </w:rPr>
              <w:t>(2)</w:t>
            </w:r>
          </w:p>
        </w:tc>
        <w:tc>
          <w:tcPr>
            <w:tcW w:w="284" w:type="pct"/>
            <w:vAlign w:val="center"/>
          </w:tcPr>
          <w:p w14:paraId="0A7FF1FA">
            <w:pPr>
              <w:pStyle w:val="11"/>
              <w:jc w:val="center"/>
              <w:rPr>
                <w:rFonts w:hint="eastAsia" w:ascii="仿宋_GB2312" w:hAnsi="仿宋_GB2312" w:eastAsia="仿宋_GB2312" w:cs="仿宋_GB2312"/>
                <w:sz w:val="18"/>
                <w:szCs w:val="18"/>
                <w:highlight w:val="none"/>
              </w:rPr>
            </w:pPr>
            <w:r>
              <w:rPr>
                <w:rFonts w:hint="eastAsia" w:ascii="仿宋_GB2312" w:hAnsi="仿宋_GB2312" w:eastAsia="仿宋_GB2312" w:cs="仿宋_GB2312"/>
                <w:sz w:val="18"/>
                <w:szCs w:val="18"/>
                <w:highlight w:val="none"/>
              </w:rPr>
              <w:t>A</w:t>
            </w:r>
            <w:r>
              <w:rPr>
                <w:rFonts w:hint="eastAsia" w:ascii="仿宋_GB2312" w:hAnsi="仿宋_GB2312" w:eastAsia="仿宋_GB2312" w:cs="仿宋_GB2312"/>
                <w:sz w:val="18"/>
                <w:szCs w:val="18"/>
                <w:highlight w:val="none"/>
                <w:lang w:val="en-US" w:eastAsia="zh-CN"/>
              </w:rPr>
              <w:t>2</w:t>
            </w:r>
            <w:r>
              <w:rPr>
                <w:rFonts w:hint="eastAsia" w:ascii="仿宋_GB2312" w:hAnsi="仿宋_GB2312" w:eastAsia="仿宋_GB2312" w:cs="仿宋_GB2312"/>
                <w:sz w:val="18"/>
                <w:szCs w:val="18"/>
                <w:highlight w:val="none"/>
              </w:rPr>
              <w:t>1</w:t>
            </w:r>
          </w:p>
          <w:p w14:paraId="579E8ED7">
            <w:pPr>
              <w:pStyle w:val="11"/>
              <w:jc w:val="center"/>
              <w:rPr>
                <w:rFonts w:hint="eastAsia" w:ascii="仿宋_GB2312" w:hAnsi="仿宋_GB2312" w:eastAsia="仿宋_GB2312" w:cs="仿宋_GB2312"/>
                <w:sz w:val="18"/>
                <w:szCs w:val="18"/>
                <w:highlight w:val="none"/>
              </w:rPr>
            </w:pPr>
            <w:r>
              <w:rPr>
                <w:rFonts w:hint="eastAsia" w:ascii="仿宋_GB2312" w:hAnsi="仿宋_GB2312" w:eastAsia="仿宋_GB2312" w:cs="仿宋_GB2312"/>
                <w:sz w:val="18"/>
                <w:szCs w:val="18"/>
                <w:highlight w:val="none"/>
              </w:rPr>
              <w:t>绩效目标</w:t>
            </w:r>
          </w:p>
          <w:p w14:paraId="44EE9453">
            <w:pPr>
              <w:pStyle w:val="11"/>
              <w:jc w:val="center"/>
              <w:rPr>
                <w:rFonts w:hint="eastAsia" w:ascii="仿宋_GB2312" w:hAnsi="仿宋_GB2312" w:eastAsia="仿宋_GB2312" w:cs="仿宋_GB2312"/>
                <w:sz w:val="18"/>
                <w:szCs w:val="18"/>
                <w:highlight w:val="none"/>
              </w:rPr>
            </w:pPr>
            <w:r>
              <w:rPr>
                <w:rFonts w:hint="eastAsia" w:ascii="仿宋_GB2312" w:hAnsi="仿宋_GB2312" w:eastAsia="仿宋_GB2312" w:cs="仿宋_GB2312"/>
                <w:sz w:val="18"/>
                <w:szCs w:val="18"/>
                <w:highlight w:val="none"/>
              </w:rPr>
              <w:t>合理性</w:t>
            </w:r>
          </w:p>
        </w:tc>
        <w:tc>
          <w:tcPr>
            <w:tcW w:w="231" w:type="pct"/>
            <w:vAlign w:val="center"/>
          </w:tcPr>
          <w:p w14:paraId="7C18E541">
            <w:pPr>
              <w:pStyle w:val="11"/>
              <w:jc w:val="center"/>
              <w:rPr>
                <w:rFonts w:hint="eastAsia" w:ascii="仿宋_GB2312" w:hAnsi="仿宋_GB2312" w:eastAsia="仿宋_GB2312" w:cs="仿宋_GB2312"/>
                <w:sz w:val="18"/>
                <w:szCs w:val="18"/>
                <w:highlight w:val="none"/>
              </w:rPr>
            </w:pPr>
            <w:r>
              <w:rPr>
                <w:rFonts w:hint="eastAsia" w:ascii="仿宋_GB2312" w:hAnsi="仿宋_GB2312" w:eastAsia="仿宋_GB2312" w:cs="仿宋_GB2312"/>
                <w:sz w:val="18"/>
                <w:szCs w:val="18"/>
                <w:highlight w:val="none"/>
              </w:rPr>
              <w:t>合理</w:t>
            </w:r>
          </w:p>
        </w:tc>
        <w:tc>
          <w:tcPr>
            <w:tcW w:w="151" w:type="pct"/>
            <w:vAlign w:val="center"/>
          </w:tcPr>
          <w:p w14:paraId="70B393C2">
            <w:pPr>
              <w:pStyle w:val="11"/>
              <w:jc w:val="center"/>
              <w:rPr>
                <w:rFonts w:hint="eastAsia" w:ascii="仿宋_GB2312" w:hAnsi="仿宋_GB2312" w:eastAsia="仿宋_GB2312" w:cs="仿宋_GB2312"/>
                <w:sz w:val="18"/>
                <w:szCs w:val="18"/>
                <w:highlight w:val="none"/>
              </w:rPr>
            </w:pPr>
            <w:r>
              <w:rPr>
                <w:rFonts w:hint="eastAsia" w:ascii="仿宋_GB2312" w:hAnsi="仿宋_GB2312" w:eastAsia="仿宋_GB2312" w:cs="仿宋_GB2312"/>
                <w:sz w:val="18"/>
                <w:szCs w:val="18"/>
                <w:highlight w:val="none"/>
              </w:rPr>
              <w:t>1</w:t>
            </w:r>
          </w:p>
        </w:tc>
        <w:tc>
          <w:tcPr>
            <w:tcW w:w="698" w:type="pct"/>
            <w:vAlign w:val="center"/>
          </w:tcPr>
          <w:p w14:paraId="6EFB71BC">
            <w:pPr>
              <w:pStyle w:val="11"/>
              <w:rPr>
                <w:rFonts w:hint="eastAsia" w:ascii="仿宋_GB2312" w:hAnsi="仿宋_GB2312" w:eastAsia="仿宋_GB2312" w:cs="仿宋_GB2312"/>
                <w:sz w:val="18"/>
                <w:szCs w:val="18"/>
                <w:highlight w:val="none"/>
                <w:lang w:eastAsia="zh-CN"/>
              </w:rPr>
            </w:pPr>
          </w:p>
          <w:p w14:paraId="13A4418F">
            <w:pPr>
              <w:pStyle w:val="11"/>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部门所设立的整体绩效目标依据是否充分，是否符合客观实际。用以反映和评价部门整体绩效目标与部门履职、年度工作任务的相符性情况。</w:t>
            </w:r>
          </w:p>
        </w:tc>
        <w:tc>
          <w:tcPr>
            <w:tcW w:w="1608" w:type="pct"/>
            <w:vAlign w:val="center"/>
          </w:tcPr>
          <w:p w14:paraId="4F35304B">
            <w:pPr>
              <w:pStyle w:val="11"/>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评价要点：</w:t>
            </w:r>
          </w:p>
          <w:p w14:paraId="26C494CE">
            <w:pPr>
              <w:pStyle w:val="11"/>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1.是否符合国家法律法规、国民经济和社会发展总体规划、部门“三定”方案确定的职责；</w:t>
            </w:r>
          </w:p>
          <w:p w14:paraId="2F1E3B13">
            <w:pPr>
              <w:pStyle w:val="11"/>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2.是否符合部门制定的中长期规划和年度工作计划；</w:t>
            </w:r>
          </w:p>
          <w:p w14:paraId="4833868C">
            <w:pPr>
              <w:pStyle w:val="11"/>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3.是否与本年度部门预算资金相匹配。</w:t>
            </w:r>
          </w:p>
          <w:p w14:paraId="1BB752F2">
            <w:pPr>
              <w:pStyle w:val="11"/>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评分规则：以上评价要点各占1/3分值，每个要点执行情况分为达成、部分达成、未达成三档，分别按分值的100%-80%(含)、80%-60%(含)、60%-0%合理确定分值。</w:t>
            </w:r>
          </w:p>
        </w:tc>
        <w:tc>
          <w:tcPr>
            <w:tcW w:w="1240" w:type="pct"/>
            <w:vAlign w:val="center"/>
          </w:tcPr>
          <w:p w14:paraId="1BBC8362">
            <w:pPr>
              <w:pStyle w:val="11"/>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1.符合国家法律法规、国民经济和社会发展总体规划、部门“三定”方案确定的职责，达成；</w:t>
            </w:r>
          </w:p>
          <w:p w14:paraId="30D8BFAD">
            <w:pPr>
              <w:pStyle w:val="11"/>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2.符合部门制定的中长期规划和年度工作计划，达成；</w:t>
            </w:r>
          </w:p>
          <w:p w14:paraId="7DDF1BE2">
            <w:pPr>
              <w:pStyle w:val="11"/>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3.与本年度部门预算资金相匹配，达成。</w:t>
            </w:r>
          </w:p>
        </w:tc>
        <w:tc>
          <w:tcPr>
            <w:tcW w:w="233" w:type="pct"/>
            <w:vAlign w:val="center"/>
          </w:tcPr>
          <w:p w14:paraId="2C4AC899">
            <w:pPr>
              <w:pStyle w:val="11"/>
              <w:jc w:val="center"/>
              <w:rPr>
                <w:rFonts w:hint="eastAsia" w:ascii="仿宋_GB2312" w:hAnsi="仿宋_GB2312" w:eastAsia="仿宋_GB2312" w:cs="仿宋_GB2312"/>
                <w:sz w:val="18"/>
                <w:szCs w:val="18"/>
                <w:highlight w:val="none"/>
              </w:rPr>
            </w:pPr>
            <w:r>
              <w:rPr>
                <w:rFonts w:hint="eastAsia" w:ascii="仿宋_GB2312" w:hAnsi="仿宋_GB2312" w:eastAsia="仿宋_GB2312" w:cs="仿宋_GB2312"/>
                <w:sz w:val="18"/>
                <w:szCs w:val="18"/>
                <w:highlight w:val="none"/>
              </w:rPr>
              <w:t>1</w:t>
            </w:r>
          </w:p>
        </w:tc>
      </w:tr>
      <w:tr w14:paraId="52DBA2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94" w:hRule="atLeast"/>
          <w:jc w:val="center"/>
        </w:trPr>
        <w:tc>
          <w:tcPr>
            <w:tcW w:w="254" w:type="pct"/>
            <w:vMerge w:val="continue"/>
            <w:vAlign w:val="center"/>
          </w:tcPr>
          <w:p w14:paraId="104B7875">
            <w:pPr>
              <w:pStyle w:val="11"/>
              <w:jc w:val="center"/>
              <w:rPr>
                <w:rFonts w:hint="eastAsia" w:ascii="仿宋_GB2312" w:hAnsi="仿宋_GB2312" w:eastAsia="仿宋_GB2312" w:cs="仿宋_GB2312"/>
                <w:sz w:val="18"/>
                <w:szCs w:val="18"/>
                <w:highlight w:val="none"/>
              </w:rPr>
            </w:pPr>
          </w:p>
        </w:tc>
        <w:tc>
          <w:tcPr>
            <w:tcW w:w="297" w:type="pct"/>
            <w:vMerge w:val="continue"/>
            <w:vAlign w:val="center"/>
          </w:tcPr>
          <w:p w14:paraId="13D1998F">
            <w:pPr>
              <w:pStyle w:val="11"/>
              <w:jc w:val="center"/>
              <w:rPr>
                <w:rFonts w:hint="eastAsia" w:ascii="仿宋_GB2312" w:hAnsi="仿宋_GB2312" w:eastAsia="仿宋_GB2312" w:cs="仿宋_GB2312"/>
                <w:sz w:val="18"/>
                <w:szCs w:val="18"/>
                <w:highlight w:val="none"/>
              </w:rPr>
            </w:pPr>
          </w:p>
        </w:tc>
        <w:tc>
          <w:tcPr>
            <w:tcW w:w="284" w:type="pct"/>
            <w:vAlign w:val="center"/>
          </w:tcPr>
          <w:p w14:paraId="0951ACD0">
            <w:pPr>
              <w:pStyle w:val="11"/>
              <w:jc w:val="center"/>
              <w:rPr>
                <w:rFonts w:hint="eastAsia" w:ascii="仿宋_GB2312" w:hAnsi="仿宋_GB2312" w:eastAsia="仿宋_GB2312" w:cs="仿宋_GB2312"/>
                <w:sz w:val="18"/>
                <w:szCs w:val="18"/>
                <w:highlight w:val="none"/>
              </w:rPr>
            </w:pPr>
            <w:r>
              <w:rPr>
                <w:rFonts w:hint="eastAsia" w:ascii="仿宋_GB2312" w:hAnsi="仿宋_GB2312" w:eastAsia="仿宋_GB2312" w:cs="仿宋_GB2312"/>
                <w:sz w:val="18"/>
                <w:szCs w:val="18"/>
                <w:highlight w:val="none"/>
              </w:rPr>
              <w:t>A</w:t>
            </w:r>
            <w:r>
              <w:rPr>
                <w:rFonts w:hint="eastAsia" w:ascii="仿宋_GB2312" w:hAnsi="仿宋_GB2312" w:eastAsia="仿宋_GB2312" w:cs="仿宋_GB2312"/>
                <w:sz w:val="18"/>
                <w:szCs w:val="18"/>
                <w:highlight w:val="none"/>
                <w:lang w:val="en-US" w:eastAsia="zh-CN"/>
              </w:rPr>
              <w:t>2</w:t>
            </w:r>
            <w:r>
              <w:rPr>
                <w:rFonts w:hint="eastAsia" w:ascii="仿宋_GB2312" w:hAnsi="仿宋_GB2312" w:eastAsia="仿宋_GB2312" w:cs="仿宋_GB2312"/>
                <w:sz w:val="18"/>
                <w:szCs w:val="18"/>
                <w:highlight w:val="none"/>
              </w:rPr>
              <w:t>2</w:t>
            </w:r>
          </w:p>
          <w:p w14:paraId="15535E73">
            <w:pPr>
              <w:pStyle w:val="11"/>
              <w:jc w:val="center"/>
              <w:rPr>
                <w:rFonts w:hint="eastAsia" w:ascii="仿宋_GB2312" w:hAnsi="仿宋_GB2312" w:eastAsia="仿宋_GB2312" w:cs="仿宋_GB2312"/>
                <w:sz w:val="18"/>
                <w:szCs w:val="18"/>
                <w:highlight w:val="none"/>
              </w:rPr>
            </w:pPr>
            <w:r>
              <w:rPr>
                <w:rFonts w:hint="eastAsia" w:ascii="仿宋_GB2312" w:hAnsi="仿宋_GB2312" w:eastAsia="仿宋_GB2312" w:cs="仿宋_GB2312"/>
                <w:sz w:val="18"/>
                <w:szCs w:val="18"/>
                <w:highlight w:val="none"/>
              </w:rPr>
              <w:t>绩效指标</w:t>
            </w:r>
          </w:p>
          <w:p w14:paraId="6A4371B8">
            <w:pPr>
              <w:pStyle w:val="11"/>
              <w:jc w:val="center"/>
              <w:rPr>
                <w:rFonts w:hint="eastAsia" w:ascii="仿宋_GB2312" w:hAnsi="仿宋_GB2312" w:eastAsia="仿宋_GB2312" w:cs="仿宋_GB2312"/>
                <w:sz w:val="18"/>
                <w:szCs w:val="18"/>
                <w:highlight w:val="none"/>
              </w:rPr>
            </w:pPr>
            <w:r>
              <w:rPr>
                <w:rFonts w:hint="eastAsia" w:ascii="仿宋_GB2312" w:hAnsi="仿宋_GB2312" w:eastAsia="仿宋_GB2312" w:cs="仿宋_GB2312"/>
                <w:sz w:val="18"/>
                <w:szCs w:val="18"/>
                <w:highlight w:val="none"/>
              </w:rPr>
              <w:t>明确性</w:t>
            </w:r>
          </w:p>
        </w:tc>
        <w:tc>
          <w:tcPr>
            <w:tcW w:w="231" w:type="pct"/>
            <w:vAlign w:val="center"/>
          </w:tcPr>
          <w:p w14:paraId="36BF2BCE">
            <w:pPr>
              <w:pStyle w:val="11"/>
              <w:jc w:val="center"/>
              <w:rPr>
                <w:rFonts w:hint="eastAsia" w:ascii="仿宋_GB2312" w:hAnsi="仿宋_GB2312" w:eastAsia="仿宋_GB2312" w:cs="仿宋_GB2312"/>
                <w:sz w:val="18"/>
                <w:szCs w:val="18"/>
                <w:highlight w:val="none"/>
              </w:rPr>
            </w:pPr>
            <w:r>
              <w:rPr>
                <w:rFonts w:hint="eastAsia" w:ascii="仿宋_GB2312" w:hAnsi="仿宋_GB2312" w:eastAsia="仿宋_GB2312" w:cs="仿宋_GB2312"/>
                <w:sz w:val="18"/>
                <w:szCs w:val="18"/>
                <w:highlight w:val="none"/>
              </w:rPr>
              <w:t>明确</w:t>
            </w:r>
          </w:p>
        </w:tc>
        <w:tc>
          <w:tcPr>
            <w:tcW w:w="151" w:type="pct"/>
            <w:vAlign w:val="center"/>
          </w:tcPr>
          <w:p w14:paraId="1AABDD85">
            <w:pPr>
              <w:pStyle w:val="11"/>
              <w:jc w:val="center"/>
              <w:rPr>
                <w:rFonts w:hint="eastAsia" w:ascii="仿宋_GB2312" w:hAnsi="仿宋_GB2312" w:eastAsia="仿宋_GB2312" w:cs="仿宋_GB2312"/>
                <w:sz w:val="18"/>
                <w:szCs w:val="18"/>
                <w:highlight w:val="none"/>
              </w:rPr>
            </w:pPr>
            <w:r>
              <w:rPr>
                <w:rFonts w:hint="eastAsia" w:ascii="仿宋_GB2312" w:hAnsi="仿宋_GB2312" w:eastAsia="仿宋_GB2312" w:cs="仿宋_GB2312"/>
                <w:sz w:val="18"/>
                <w:szCs w:val="18"/>
                <w:highlight w:val="none"/>
              </w:rPr>
              <w:t>1</w:t>
            </w:r>
          </w:p>
        </w:tc>
        <w:tc>
          <w:tcPr>
            <w:tcW w:w="698" w:type="pct"/>
            <w:vAlign w:val="center"/>
          </w:tcPr>
          <w:p w14:paraId="0B0CCE04">
            <w:pPr>
              <w:pStyle w:val="11"/>
              <w:rPr>
                <w:rFonts w:hint="eastAsia" w:ascii="仿宋_GB2312" w:hAnsi="仿宋_GB2312" w:eastAsia="仿宋_GB2312" w:cs="仿宋_GB2312"/>
                <w:sz w:val="18"/>
                <w:szCs w:val="18"/>
                <w:highlight w:val="none"/>
                <w:lang w:eastAsia="zh-CN"/>
              </w:rPr>
            </w:pPr>
          </w:p>
          <w:p w14:paraId="44CA0DAC">
            <w:pPr>
              <w:pStyle w:val="11"/>
              <w:rPr>
                <w:rFonts w:hint="eastAsia" w:ascii="仿宋_GB2312" w:hAnsi="仿宋_GB2312" w:eastAsia="仿宋_GB2312" w:cs="仿宋_GB2312"/>
                <w:sz w:val="18"/>
                <w:szCs w:val="18"/>
                <w:highlight w:val="none"/>
                <w:lang w:eastAsia="zh-CN"/>
              </w:rPr>
            </w:pPr>
          </w:p>
          <w:p w14:paraId="73DF3C93">
            <w:pPr>
              <w:pStyle w:val="11"/>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部门所设立的整体绩效指标是否清晰、细化、可侧量等，用以反映和评价部门绩效目标设置的明细化情况。</w:t>
            </w:r>
          </w:p>
        </w:tc>
        <w:tc>
          <w:tcPr>
            <w:tcW w:w="1608" w:type="pct"/>
            <w:vAlign w:val="center"/>
          </w:tcPr>
          <w:p w14:paraId="4FE3FB90">
            <w:pPr>
              <w:pStyle w:val="11"/>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评价要点：</w:t>
            </w:r>
          </w:p>
          <w:p w14:paraId="1C9EFA23">
            <w:pPr>
              <w:pStyle w:val="11"/>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1.是否将部门整体预算绩效目标细化分解为具体的重点工作任务；</w:t>
            </w:r>
          </w:p>
          <w:p w14:paraId="13C1B638">
            <w:pPr>
              <w:pStyle w:val="11"/>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2.部门整体及项目的绩效指标是否清晰，指标值是否量化、可衡量；</w:t>
            </w:r>
          </w:p>
          <w:p w14:paraId="3FA234B6">
            <w:pPr>
              <w:pStyle w:val="11"/>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3.是否突出核心绩效指标。</w:t>
            </w:r>
          </w:p>
          <w:p w14:paraId="2D11E24D">
            <w:pPr>
              <w:pStyle w:val="11"/>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评分规则：以上评价要点各占1/3分值，每个要点执行情况分为达成、部分达成、未达成三档，分别按分值的100%-80%(含)、80%-60%(含)、60%-0%合理确定分值。</w:t>
            </w:r>
          </w:p>
        </w:tc>
        <w:tc>
          <w:tcPr>
            <w:tcW w:w="1240" w:type="pct"/>
            <w:vAlign w:val="center"/>
          </w:tcPr>
          <w:p w14:paraId="7468C6ED">
            <w:pPr>
              <w:pStyle w:val="11"/>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1.部门整体预算绩效目标细化分解为具体的重点工作任务，达成；</w:t>
            </w:r>
          </w:p>
          <w:p w14:paraId="1063B985">
            <w:pPr>
              <w:pStyle w:val="11"/>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2.部门整体及项目的绩效指标清晰，指标值可量化可衡量，达成；</w:t>
            </w:r>
          </w:p>
          <w:p w14:paraId="521DDBA0">
            <w:pPr>
              <w:pStyle w:val="11"/>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3.突出核心绩效指标，达成。</w:t>
            </w:r>
          </w:p>
        </w:tc>
        <w:tc>
          <w:tcPr>
            <w:tcW w:w="233" w:type="pct"/>
            <w:vAlign w:val="center"/>
          </w:tcPr>
          <w:p w14:paraId="54AE65CB">
            <w:pPr>
              <w:pStyle w:val="11"/>
              <w:jc w:val="center"/>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val="en-US" w:eastAsia="zh-CN"/>
              </w:rPr>
              <w:t>1</w:t>
            </w:r>
          </w:p>
        </w:tc>
      </w:tr>
      <w:tr w14:paraId="426B2F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92" w:hRule="atLeast"/>
          <w:jc w:val="center"/>
        </w:trPr>
        <w:tc>
          <w:tcPr>
            <w:tcW w:w="254" w:type="pct"/>
            <w:vMerge w:val="continue"/>
            <w:vAlign w:val="center"/>
          </w:tcPr>
          <w:p w14:paraId="042DAF34">
            <w:pPr>
              <w:pStyle w:val="11"/>
              <w:jc w:val="center"/>
              <w:rPr>
                <w:rFonts w:hint="eastAsia" w:ascii="仿宋_GB2312" w:hAnsi="仿宋_GB2312" w:eastAsia="仿宋_GB2312" w:cs="仿宋_GB2312"/>
                <w:sz w:val="18"/>
                <w:szCs w:val="18"/>
                <w:highlight w:val="none"/>
              </w:rPr>
            </w:pPr>
          </w:p>
        </w:tc>
        <w:tc>
          <w:tcPr>
            <w:tcW w:w="297" w:type="pct"/>
            <w:vMerge w:val="restart"/>
            <w:tcBorders>
              <w:bottom w:val="nil"/>
            </w:tcBorders>
            <w:vAlign w:val="center"/>
          </w:tcPr>
          <w:p w14:paraId="1ECFE448">
            <w:pPr>
              <w:pStyle w:val="11"/>
              <w:jc w:val="center"/>
              <w:rPr>
                <w:rFonts w:hint="eastAsia" w:ascii="仿宋_GB2312" w:hAnsi="仿宋_GB2312" w:eastAsia="仿宋_GB2312" w:cs="仿宋_GB2312"/>
                <w:sz w:val="18"/>
                <w:szCs w:val="18"/>
                <w:highlight w:val="none"/>
                <w:lang w:val="en-US" w:eastAsia="zh-CN"/>
              </w:rPr>
            </w:pPr>
            <w:r>
              <w:rPr>
                <w:rFonts w:hint="eastAsia" w:ascii="仿宋_GB2312" w:hAnsi="仿宋_GB2312" w:eastAsia="仿宋_GB2312" w:cs="仿宋_GB2312"/>
                <w:sz w:val="18"/>
                <w:szCs w:val="18"/>
                <w:highlight w:val="none"/>
              </w:rPr>
              <w:t>A</w:t>
            </w:r>
            <w:r>
              <w:rPr>
                <w:rFonts w:hint="eastAsia" w:ascii="仿宋_GB2312" w:hAnsi="仿宋_GB2312" w:eastAsia="仿宋_GB2312" w:cs="仿宋_GB2312"/>
                <w:sz w:val="18"/>
                <w:szCs w:val="18"/>
                <w:highlight w:val="none"/>
                <w:lang w:val="en-US" w:eastAsia="zh-CN"/>
              </w:rPr>
              <w:t>3</w:t>
            </w:r>
          </w:p>
          <w:p w14:paraId="545F0093">
            <w:pPr>
              <w:pStyle w:val="11"/>
              <w:jc w:val="center"/>
              <w:rPr>
                <w:rFonts w:hint="eastAsia" w:ascii="仿宋_GB2312" w:hAnsi="仿宋_GB2312" w:eastAsia="仿宋_GB2312" w:cs="仿宋_GB2312"/>
                <w:sz w:val="18"/>
                <w:szCs w:val="18"/>
                <w:highlight w:val="none"/>
              </w:rPr>
            </w:pPr>
            <w:r>
              <w:rPr>
                <w:rFonts w:hint="eastAsia" w:ascii="仿宋_GB2312" w:hAnsi="仿宋_GB2312" w:eastAsia="仿宋_GB2312" w:cs="仿宋_GB2312"/>
                <w:sz w:val="18"/>
                <w:szCs w:val="18"/>
                <w:highlight w:val="none"/>
              </w:rPr>
              <w:t>预算编制</w:t>
            </w:r>
          </w:p>
          <w:p w14:paraId="66349237">
            <w:pPr>
              <w:pStyle w:val="11"/>
              <w:jc w:val="center"/>
              <w:rPr>
                <w:rFonts w:hint="eastAsia" w:ascii="仿宋_GB2312" w:hAnsi="仿宋_GB2312" w:eastAsia="仿宋_GB2312" w:cs="仿宋_GB2312"/>
                <w:sz w:val="18"/>
                <w:szCs w:val="18"/>
                <w:highlight w:val="none"/>
              </w:rPr>
            </w:pPr>
            <w:r>
              <w:rPr>
                <w:rFonts w:hint="eastAsia" w:ascii="仿宋_GB2312" w:hAnsi="仿宋_GB2312" w:eastAsia="仿宋_GB2312" w:cs="仿宋_GB2312"/>
                <w:sz w:val="18"/>
                <w:szCs w:val="18"/>
                <w:highlight w:val="none"/>
              </w:rPr>
              <w:t>(2)</w:t>
            </w:r>
          </w:p>
        </w:tc>
        <w:tc>
          <w:tcPr>
            <w:tcW w:w="284" w:type="pct"/>
            <w:vAlign w:val="center"/>
          </w:tcPr>
          <w:p w14:paraId="2F42973E">
            <w:pPr>
              <w:pStyle w:val="11"/>
              <w:jc w:val="center"/>
              <w:rPr>
                <w:rFonts w:hint="eastAsia" w:ascii="仿宋_GB2312" w:hAnsi="仿宋_GB2312" w:eastAsia="仿宋_GB2312" w:cs="仿宋_GB2312"/>
                <w:sz w:val="18"/>
                <w:szCs w:val="18"/>
                <w:highlight w:val="none"/>
              </w:rPr>
            </w:pPr>
            <w:r>
              <w:rPr>
                <w:rFonts w:hint="eastAsia" w:ascii="仿宋_GB2312" w:hAnsi="仿宋_GB2312" w:eastAsia="仿宋_GB2312" w:cs="仿宋_GB2312"/>
                <w:sz w:val="18"/>
                <w:szCs w:val="18"/>
                <w:highlight w:val="none"/>
              </w:rPr>
              <w:t>A</w:t>
            </w:r>
            <w:r>
              <w:rPr>
                <w:rFonts w:hint="eastAsia" w:ascii="仿宋_GB2312" w:hAnsi="仿宋_GB2312" w:eastAsia="仿宋_GB2312" w:cs="仿宋_GB2312"/>
                <w:sz w:val="18"/>
                <w:szCs w:val="18"/>
                <w:highlight w:val="none"/>
                <w:lang w:val="en-US" w:eastAsia="zh-CN"/>
              </w:rPr>
              <w:t>3</w:t>
            </w:r>
            <w:r>
              <w:rPr>
                <w:rFonts w:hint="eastAsia" w:ascii="仿宋_GB2312" w:hAnsi="仿宋_GB2312" w:eastAsia="仿宋_GB2312" w:cs="仿宋_GB2312"/>
                <w:sz w:val="18"/>
                <w:szCs w:val="18"/>
                <w:highlight w:val="none"/>
              </w:rPr>
              <w:t>1</w:t>
            </w:r>
          </w:p>
          <w:p w14:paraId="0F122F13">
            <w:pPr>
              <w:pStyle w:val="11"/>
              <w:jc w:val="center"/>
              <w:rPr>
                <w:rFonts w:hint="eastAsia" w:ascii="仿宋_GB2312" w:hAnsi="仿宋_GB2312" w:eastAsia="仿宋_GB2312" w:cs="仿宋_GB2312"/>
                <w:sz w:val="18"/>
                <w:szCs w:val="18"/>
                <w:highlight w:val="none"/>
              </w:rPr>
            </w:pPr>
            <w:r>
              <w:rPr>
                <w:rFonts w:hint="eastAsia" w:ascii="仿宋_GB2312" w:hAnsi="仿宋_GB2312" w:eastAsia="仿宋_GB2312" w:cs="仿宋_GB2312"/>
                <w:sz w:val="18"/>
                <w:szCs w:val="18"/>
                <w:highlight w:val="none"/>
              </w:rPr>
              <w:t>预算编制科学性</w:t>
            </w:r>
          </w:p>
        </w:tc>
        <w:tc>
          <w:tcPr>
            <w:tcW w:w="231" w:type="pct"/>
            <w:vAlign w:val="center"/>
          </w:tcPr>
          <w:p w14:paraId="05D2DD1D">
            <w:pPr>
              <w:pStyle w:val="11"/>
              <w:jc w:val="center"/>
              <w:rPr>
                <w:rFonts w:hint="eastAsia" w:ascii="仿宋_GB2312" w:hAnsi="仿宋_GB2312" w:eastAsia="仿宋_GB2312" w:cs="仿宋_GB2312"/>
                <w:sz w:val="18"/>
                <w:szCs w:val="18"/>
                <w:highlight w:val="none"/>
              </w:rPr>
            </w:pPr>
            <w:r>
              <w:rPr>
                <w:rFonts w:hint="eastAsia" w:ascii="仿宋_GB2312" w:hAnsi="仿宋_GB2312" w:eastAsia="仿宋_GB2312" w:cs="仿宋_GB2312"/>
                <w:sz w:val="18"/>
                <w:szCs w:val="18"/>
                <w:highlight w:val="none"/>
              </w:rPr>
              <w:t>科学</w:t>
            </w:r>
          </w:p>
        </w:tc>
        <w:tc>
          <w:tcPr>
            <w:tcW w:w="151" w:type="pct"/>
            <w:vAlign w:val="center"/>
          </w:tcPr>
          <w:p w14:paraId="014A575B">
            <w:pPr>
              <w:pStyle w:val="11"/>
              <w:jc w:val="center"/>
              <w:rPr>
                <w:rFonts w:hint="eastAsia" w:ascii="仿宋_GB2312" w:hAnsi="仿宋_GB2312" w:eastAsia="仿宋_GB2312" w:cs="仿宋_GB2312"/>
                <w:sz w:val="18"/>
                <w:szCs w:val="18"/>
                <w:highlight w:val="none"/>
              </w:rPr>
            </w:pPr>
            <w:r>
              <w:rPr>
                <w:rFonts w:hint="eastAsia" w:ascii="仿宋_GB2312" w:hAnsi="仿宋_GB2312" w:eastAsia="仿宋_GB2312" w:cs="仿宋_GB2312"/>
                <w:sz w:val="18"/>
                <w:szCs w:val="18"/>
                <w:highlight w:val="none"/>
              </w:rPr>
              <w:t>1</w:t>
            </w:r>
          </w:p>
        </w:tc>
        <w:tc>
          <w:tcPr>
            <w:tcW w:w="698" w:type="pct"/>
            <w:vAlign w:val="center"/>
          </w:tcPr>
          <w:p w14:paraId="5E5D2D2D">
            <w:pPr>
              <w:pStyle w:val="11"/>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部门预算编制是否经过科学论证、有明确标准，资金分配是否公平合理、资金额度与年度目标是否相适应，有无重复交叉，重点支出是否有保障，用以反映和考核部门整体预算编制的科学性、合理性情况</w:t>
            </w:r>
          </w:p>
        </w:tc>
        <w:tc>
          <w:tcPr>
            <w:tcW w:w="1608" w:type="pct"/>
            <w:vAlign w:val="center"/>
          </w:tcPr>
          <w:p w14:paraId="1612FCB8">
            <w:pPr>
              <w:pStyle w:val="11"/>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评价要点；</w:t>
            </w:r>
          </w:p>
          <w:p w14:paraId="180F733E">
            <w:pPr>
              <w:pStyle w:val="11"/>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1.预算编制的基本信息内容是否真实、完整、准确，基本支出预算是否按照规定标准编制；项目预算测算依据是否充分，资金分配是否公平合理，是否与年度目标相匹配；</w:t>
            </w:r>
          </w:p>
          <w:p w14:paraId="15EFA08C">
            <w:pPr>
              <w:pStyle w:val="11"/>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2.重点项目预算是否有保障；部门内容项目之间是否存在重复交叉，与其他部门项目是否存在重复交叉。</w:t>
            </w:r>
          </w:p>
          <w:p w14:paraId="20D0B382">
            <w:pPr>
              <w:pStyle w:val="11"/>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评分规则：以上评价要点各占1/2权重，每个要点执行情况分为达成、部分达成、未达成三档，按100%-80%(含)、80%-60%(含)、60%-0%合理评分。</w:t>
            </w:r>
          </w:p>
        </w:tc>
        <w:tc>
          <w:tcPr>
            <w:tcW w:w="1240" w:type="pct"/>
            <w:vAlign w:val="center"/>
          </w:tcPr>
          <w:p w14:paraId="3F867622">
            <w:pPr>
              <w:pStyle w:val="11"/>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1.预算编制的基本信息内容真实、完整，准确，基本支出预算按照规定标准编制；项目预算测算依据充分，资金分配公平合理，与年度目标相匹配，达成；</w:t>
            </w:r>
          </w:p>
          <w:p w14:paraId="492ADB08">
            <w:pPr>
              <w:pStyle w:val="11"/>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2.重点项目预算有保障；部门内容项目之间不存在重复交叉，与其他部门项目不存在重复交叉，达成。</w:t>
            </w:r>
          </w:p>
        </w:tc>
        <w:tc>
          <w:tcPr>
            <w:tcW w:w="233" w:type="pct"/>
            <w:vAlign w:val="center"/>
          </w:tcPr>
          <w:p w14:paraId="34F1790E">
            <w:pPr>
              <w:pStyle w:val="11"/>
              <w:jc w:val="center"/>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1</w:t>
            </w:r>
          </w:p>
        </w:tc>
      </w:tr>
      <w:tr w14:paraId="1E3FD5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32" w:hRule="atLeast"/>
          <w:jc w:val="center"/>
        </w:trPr>
        <w:tc>
          <w:tcPr>
            <w:tcW w:w="254" w:type="pct"/>
            <w:vMerge w:val="continue"/>
            <w:vAlign w:val="center"/>
          </w:tcPr>
          <w:p w14:paraId="249527C4">
            <w:pPr>
              <w:pStyle w:val="11"/>
              <w:jc w:val="center"/>
              <w:rPr>
                <w:rFonts w:hint="eastAsia" w:ascii="仿宋_GB2312" w:hAnsi="仿宋_GB2312" w:eastAsia="仿宋_GB2312" w:cs="仿宋_GB2312"/>
                <w:sz w:val="18"/>
                <w:szCs w:val="18"/>
                <w:highlight w:val="none"/>
              </w:rPr>
            </w:pPr>
          </w:p>
        </w:tc>
        <w:tc>
          <w:tcPr>
            <w:tcW w:w="297" w:type="pct"/>
            <w:vMerge w:val="continue"/>
            <w:tcBorders>
              <w:top w:val="nil"/>
            </w:tcBorders>
            <w:vAlign w:val="center"/>
          </w:tcPr>
          <w:p w14:paraId="60F904C3">
            <w:pPr>
              <w:pStyle w:val="11"/>
              <w:jc w:val="center"/>
              <w:rPr>
                <w:rFonts w:hint="eastAsia" w:ascii="仿宋_GB2312" w:hAnsi="仿宋_GB2312" w:eastAsia="仿宋_GB2312" w:cs="仿宋_GB2312"/>
                <w:sz w:val="18"/>
                <w:szCs w:val="18"/>
                <w:highlight w:val="none"/>
              </w:rPr>
            </w:pPr>
          </w:p>
        </w:tc>
        <w:tc>
          <w:tcPr>
            <w:tcW w:w="284" w:type="pct"/>
            <w:vAlign w:val="center"/>
          </w:tcPr>
          <w:p w14:paraId="39C71B5D">
            <w:pPr>
              <w:pStyle w:val="11"/>
              <w:jc w:val="center"/>
              <w:rPr>
                <w:rFonts w:hint="eastAsia" w:ascii="仿宋_GB2312" w:hAnsi="仿宋_GB2312" w:eastAsia="仿宋_GB2312" w:cs="仿宋_GB2312"/>
                <w:sz w:val="18"/>
                <w:szCs w:val="18"/>
                <w:highlight w:val="none"/>
              </w:rPr>
            </w:pPr>
            <w:r>
              <w:rPr>
                <w:rFonts w:hint="eastAsia" w:ascii="仿宋_GB2312" w:hAnsi="仿宋_GB2312" w:eastAsia="仿宋_GB2312" w:cs="仿宋_GB2312"/>
                <w:sz w:val="18"/>
                <w:szCs w:val="18"/>
                <w:highlight w:val="none"/>
              </w:rPr>
              <w:t>A</w:t>
            </w:r>
            <w:r>
              <w:rPr>
                <w:rFonts w:hint="eastAsia" w:ascii="仿宋_GB2312" w:hAnsi="仿宋_GB2312" w:eastAsia="仿宋_GB2312" w:cs="仿宋_GB2312"/>
                <w:sz w:val="18"/>
                <w:szCs w:val="18"/>
                <w:highlight w:val="none"/>
                <w:lang w:val="en-US" w:eastAsia="zh-CN"/>
              </w:rPr>
              <w:t>3</w:t>
            </w:r>
            <w:r>
              <w:rPr>
                <w:rFonts w:hint="eastAsia" w:ascii="仿宋_GB2312" w:hAnsi="仿宋_GB2312" w:eastAsia="仿宋_GB2312" w:cs="仿宋_GB2312"/>
                <w:sz w:val="18"/>
                <w:szCs w:val="18"/>
                <w:highlight w:val="none"/>
              </w:rPr>
              <w:t>2</w:t>
            </w:r>
          </w:p>
          <w:p w14:paraId="428409E8">
            <w:pPr>
              <w:pStyle w:val="11"/>
              <w:jc w:val="center"/>
              <w:rPr>
                <w:rFonts w:hint="eastAsia" w:ascii="仿宋_GB2312" w:hAnsi="仿宋_GB2312" w:eastAsia="仿宋_GB2312" w:cs="仿宋_GB2312"/>
                <w:sz w:val="18"/>
                <w:szCs w:val="18"/>
                <w:highlight w:val="none"/>
              </w:rPr>
            </w:pPr>
            <w:r>
              <w:rPr>
                <w:rFonts w:hint="eastAsia" w:ascii="仿宋_GB2312" w:hAnsi="仿宋_GB2312" w:eastAsia="仿宋_GB2312" w:cs="仿宋_GB2312"/>
                <w:sz w:val="18"/>
                <w:szCs w:val="18"/>
                <w:highlight w:val="none"/>
              </w:rPr>
              <w:t>预算编制规范性</w:t>
            </w:r>
          </w:p>
        </w:tc>
        <w:tc>
          <w:tcPr>
            <w:tcW w:w="231" w:type="pct"/>
            <w:vAlign w:val="center"/>
          </w:tcPr>
          <w:p w14:paraId="32555C7C">
            <w:pPr>
              <w:pStyle w:val="11"/>
              <w:jc w:val="center"/>
              <w:rPr>
                <w:rFonts w:hint="eastAsia" w:ascii="仿宋_GB2312" w:hAnsi="仿宋_GB2312" w:eastAsia="仿宋_GB2312" w:cs="仿宋_GB2312"/>
                <w:sz w:val="18"/>
                <w:szCs w:val="18"/>
                <w:highlight w:val="none"/>
              </w:rPr>
            </w:pPr>
            <w:r>
              <w:rPr>
                <w:rFonts w:hint="eastAsia" w:ascii="仿宋_GB2312" w:hAnsi="仿宋_GB2312" w:eastAsia="仿宋_GB2312" w:cs="仿宋_GB2312"/>
                <w:sz w:val="18"/>
                <w:szCs w:val="18"/>
                <w:highlight w:val="none"/>
              </w:rPr>
              <w:t>规范</w:t>
            </w:r>
          </w:p>
        </w:tc>
        <w:tc>
          <w:tcPr>
            <w:tcW w:w="151" w:type="pct"/>
            <w:vAlign w:val="center"/>
          </w:tcPr>
          <w:p w14:paraId="3033F21E">
            <w:pPr>
              <w:pStyle w:val="11"/>
              <w:jc w:val="center"/>
              <w:rPr>
                <w:rFonts w:hint="eastAsia" w:ascii="仿宋_GB2312" w:hAnsi="仿宋_GB2312" w:eastAsia="仿宋_GB2312" w:cs="仿宋_GB2312"/>
                <w:sz w:val="18"/>
                <w:szCs w:val="18"/>
                <w:highlight w:val="none"/>
              </w:rPr>
            </w:pPr>
            <w:r>
              <w:rPr>
                <w:rFonts w:hint="eastAsia" w:ascii="仿宋_GB2312" w:hAnsi="仿宋_GB2312" w:eastAsia="仿宋_GB2312" w:cs="仿宋_GB2312"/>
                <w:sz w:val="18"/>
                <w:szCs w:val="18"/>
                <w:highlight w:val="none"/>
              </w:rPr>
              <w:t>1</w:t>
            </w:r>
          </w:p>
        </w:tc>
        <w:tc>
          <w:tcPr>
            <w:tcW w:w="698" w:type="pct"/>
            <w:vAlign w:val="center"/>
          </w:tcPr>
          <w:p w14:paraId="751CDC4B">
            <w:pPr>
              <w:pStyle w:val="11"/>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部门整体预算编制是否严格按照时间和流程要求执行，材料是否符合要求，用以反映和考核部门整体预算编制的规范化情况。</w:t>
            </w:r>
          </w:p>
        </w:tc>
        <w:tc>
          <w:tcPr>
            <w:tcW w:w="1608" w:type="pct"/>
            <w:vAlign w:val="center"/>
          </w:tcPr>
          <w:p w14:paraId="2FE6D8B5">
            <w:pPr>
              <w:pStyle w:val="11"/>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评价要点：</w:t>
            </w:r>
          </w:p>
          <w:p w14:paraId="713938B5">
            <w:pPr>
              <w:pStyle w:val="11"/>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1.部门是否编制了中期财政规划，是否完整规范，严格按照规定时间和流程编制预算；</w:t>
            </w:r>
          </w:p>
          <w:p w14:paraId="4E450809">
            <w:pPr>
              <w:pStyle w:val="11"/>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2.各项目设立依据是否充分，是否按照规定的程序申请设立，事前是否经过必要的可行性研究、专家论证、风险评古、绩效评估、集体决策等；</w:t>
            </w:r>
          </w:p>
          <w:p w14:paraId="05AF2B0A">
            <w:pPr>
              <w:pStyle w:val="11"/>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3.审批文件、材料是否符合相关要求。</w:t>
            </w:r>
          </w:p>
          <w:p w14:paraId="65C28276">
            <w:pPr>
              <w:pStyle w:val="11"/>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评分规则：以上评价要点各占1/3权重，每个要点执行情况分为达成、部分达成、未达成三档，按100%-80%(含)、80%-60%(含)、60%-0%合理评分。</w:t>
            </w:r>
          </w:p>
        </w:tc>
        <w:tc>
          <w:tcPr>
            <w:tcW w:w="1240" w:type="pct"/>
            <w:vAlign w:val="center"/>
          </w:tcPr>
          <w:p w14:paraId="48B3E8F0">
            <w:pPr>
              <w:pStyle w:val="11"/>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1.部门编制了中期财政规划，完整规范，严格按照规定时间和流程编制预算，达成；</w:t>
            </w:r>
          </w:p>
          <w:p w14:paraId="2B61C528">
            <w:pPr>
              <w:pStyle w:val="11"/>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2.各项目设立依据充分，按照规定的程序申请设立，事前经过必要的可行性研究、专家论证、风险评估、绩效评估、集体决策等，达成；</w:t>
            </w:r>
          </w:p>
          <w:p w14:paraId="1A53C321">
            <w:pPr>
              <w:pStyle w:val="11"/>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3.审批文件、材料符合相关要求，达成。</w:t>
            </w:r>
          </w:p>
        </w:tc>
        <w:tc>
          <w:tcPr>
            <w:tcW w:w="233" w:type="pct"/>
            <w:vAlign w:val="center"/>
          </w:tcPr>
          <w:p w14:paraId="171CA61D">
            <w:pPr>
              <w:pStyle w:val="11"/>
              <w:jc w:val="center"/>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1</w:t>
            </w:r>
          </w:p>
        </w:tc>
      </w:tr>
      <w:tr w14:paraId="6C1A9E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12" w:hRule="atLeast"/>
          <w:jc w:val="center"/>
        </w:trPr>
        <w:tc>
          <w:tcPr>
            <w:tcW w:w="254" w:type="pct"/>
            <w:vMerge w:val="restart"/>
            <w:vAlign w:val="center"/>
          </w:tcPr>
          <w:p w14:paraId="7865F501">
            <w:pPr>
              <w:pStyle w:val="11"/>
              <w:jc w:val="center"/>
              <w:rPr>
                <w:rFonts w:hint="eastAsia" w:ascii="仿宋_GB2312" w:hAnsi="仿宋_GB2312" w:eastAsia="仿宋_GB2312" w:cs="仿宋_GB2312"/>
                <w:sz w:val="18"/>
                <w:szCs w:val="18"/>
                <w:highlight w:val="none"/>
              </w:rPr>
            </w:pPr>
            <w:r>
              <w:rPr>
                <w:rFonts w:hint="eastAsia" w:ascii="仿宋_GB2312" w:hAnsi="仿宋_GB2312" w:eastAsia="仿宋_GB2312" w:cs="仿宋_GB2312"/>
                <w:sz w:val="18"/>
                <w:szCs w:val="18"/>
                <w:highlight w:val="none"/>
              </w:rPr>
              <w:t>B过程(28)</w:t>
            </w:r>
          </w:p>
        </w:tc>
        <w:tc>
          <w:tcPr>
            <w:tcW w:w="297" w:type="pct"/>
            <w:vMerge w:val="restart"/>
            <w:tcBorders>
              <w:top w:val="nil"/>
            </w:tcBorders>
            <w:vAlign w:val="center"/>
          </w:tcPr>
          <w:p w14:paraId="7C646F4C">
            <w:pPr>
              <w:pStyle w:val="11"/>
              <w:jc w:val="center"/>
              <w:rPr>
                <w:rFonts w:hint="eastAsia" w:ascii="仿宋_GB2312" w:hAnsi="仿宋_GB2312" w:eastAsia="仿宋_GB2312" w:cs="仿宋_GB2312"/>
                <w:sz w:val="18"/>
                <w:szCs w:val="18"/>
                <w:highlight w:val="none"/>
              </w:rPr>
            </w:pPr>
            <w:r>
              <w:rPr>
                <w:rFonts w:hint="eastAsia" w:ascii="仿宋_GB2312" w:hAnsi="仿宋_GB2312" w:eastAsia="仿宋_GB2312" w:cs="仿宋_GB2312"/>
                <w:sz w:val="18"/>
                <w:szCs w:val="18"/>
                <w:highlight w:val="none"/>
              </w:rPr>
              <w:t>B1</w:t>
            </w:r>
          </w:p>
          <w:p w14:paraId="432C3318">
            <w:pPr>
              <w:pStyle w:val="11"/>
              <w:jc w:val="center"/>
              <w:rPr>
                <w:rFonts w:hint="eastAsia" w:ascii="仿宋_GB2312" w:hAnsi="仿宋_GB2312" w:eastAsia="仿宋_GB2312" w:cs="仿宋_GB2312"/>
                <w:sz w:val="18"/>
                <w:szCs w:val="18"/>
                <w:highlight w:val="none"/>
              </w:rPr>
            </w:pPr>
            <w:r>
              <w:rPr>
                <w:rFonts w:hint="eastAsia" w:ascii="仿宋_GB2312" w:hAnsi="仿宋_GB2312" w:eastAsia="仿宋_GB2312" w:cs="仿宋_GB2312"/>
                <w:sz w:val="18"/>
                <w:szCs w:val="18"/>
                <w:highlight w:val="none"/>
              </w:rPr>
              <w:t>预算执行</w:t>
            </w:r>
          </w:p>
          <w:p w14:paraId="222DCEFF">
            <w:pPr>
              <w:pStyle w:val="11"/>
              <w:jc w:val="center"/>
              <w:rPr>
                <w:rFonts w:hint="eastAsia" w:ascii="仿宋_GB2312" w:hAnsi="仿宋_GB2312" w:eastAsia="仿宋_GB2312" w:cs="仿宋_GB2312"/>
                <w:sz w:val="18"/>
                <w:szCs w:val="18"/>
                <w:highlight w:val="none"/>
              </w:rPr>
            </w:pPr>
            <w:r>
              <w:rPr>
                <w:rFonts w:hint="eastAsia" w:ascii="仿宋_GB2312" w:hAnsi="仿宋_GB2312" w:eastAsia="仿宋_GB2312" w:cs="仿宋_GB2312"/>
                <w:sz w:val="18"/>
                <w:szCs w:val="18"/>
                <w:highlight w:val="none"/>
              </w:rPr>
              <w:t>(9)</w:t>
            </w:r>
          </w:p>
        </w:tc>
        <w:tc>
          <w:tcPr>
            <w:tcW w:w="284" w:type="pct"/>
            <w:shd w:val="clear" w:color="auto" w:fill="auto"/>
            <w:vAlign w:val="center"/>
          </w:tcPr>
          <w:p w14:paraId="375097ED">
            <w:pPr>
              <w:pStyle w:val="11"/>
              <w:jc w:val="center"/>
              <w:rPr>
                <w:rFonts w:hint="eastAsia" w:ascii="仿宋_GB2312" w:hAnsi="仿宋_GB2312" w:eastAsia="仿宋_GB2312" w:cs="仿宋_GB2312"/>
                <w:sz w:val="18"/>
                <w:szCs w:val="18"/>
                <w:highlight w:val="none"/>
              </w:rPr>
            </w:pPr>
            <w:r>
              <w:rPr>
                <w:rFonts w:hint="eastAsia" w:ascii="仿宋_GB2312" w:hAnsi="仿宋_GB2312" w:eastAsia="仿宋_GB2312" w:cs="仿宋_GB2312"/>
                <w:sz w:val="18"/>
                <w:szCs w:val="18"/>
                <w:highlight w:val="none"/>
              </w:rPr>
              <w:t>B11</w:t>
            </w:r>
          </w:p>
          <w:p w14:paraId="29FEA22C">
            <w:pPr>
              <w:pStyle w:val="11"/>
              <w:jc w:val="center"/>
              <w:rPr>
                <w:rFonts w:hint="eastAsia" w:ascii="仿宋_GB2312" w:hAnsi="仿宋_GB2312" w:eastAsia="仿宋_GB2312" w:cs="仿宋_GB2312"/>
                <w:snapToGrid w:val="0"/>
                <w:color w:val="000000"/>
                <w:sz w:val="18"/>
                <w:szCs w:val="18"/>
                <w:highlight w:val="none"/>
                <w:lang w:val="en-US" w:eastAsia="en-US" w:bidi="ar-SA"/>
              </w:rPr>
            </w:pPr>
            <w:r>
              <w:rPr>
                <w:rFonts w:hint="eastAsia" w:ascii="仿宋_GB2312" w:hAnsi="仿宋_GB2312" w:eastAsia="仿宋_GB2312" w:cs="仿宋_GB2312"/>
                <w:sz w:val="18"/>
                <w:szCs w:val="18"/>
                <w:highlight w:val="none"/>
              </w:rPr>
              <w:t>预算调整率</w:t>
            </w:r>
          </w:p>
        </w:tc>
        <w:tc>
          <w:tcPr>
            <w:tcW w:w="231" w:type="pct"/>
            <w:shd w:val="clear" w:color="auto" w:fill="auto"/>
            <w:vAlign w:val="center"/>
          </w:tcPr>
          <w:p w14:paraId="357B2631">
            <w:pPr>
              <w:pStyle w:val="11"/>
              <w:jc w:val="center"/>
              <w:rPr>
                <w:rFonts w:hint="eastAsia" w:ascii="仿宋_GB2312" w:hAnsi="仿宋_GB2312" w:eastAsia="仿宋_GB2312" w:cs="仿宋_GB2312"/>
                <w:snapToGrid w:val="0"/>
                <w:color w:val="000000"/>
                <w:sz w:val="18"/>
                <w:szCs w:val="18"/>
                <w:highlight w:val="none"/>
                <w:lang w:val="en-US" w:eastAsia="zh-CN" w:bidi="ar-SA"/>
              </w:rPr>
            </w:pPr>
            <w:r>
              <w:rPr>
                <w:rFonts w:hint="eastAsia" w:ascii="仿宋_GB2312" w:hAnsi="仿宋_GB2312" w:eastAsia="仿宋_GB2312" w:cs="仿宋_GB2312"/>
                <w:sz w:val="18"/>
                <w:szCs w:val="18"/>
                <w:highlight w:val="none"/>
              </w:rPr>
              <w:t>0</w:t>
            </w:r>
          </w:p>
        </w:tc>
        <w:tc>
          <w:tcPr>
            <w:tcW w:w="151" w:type="pct"/>
            <w:shd w:val="clear" w:color="auto" w:fill="auto"/>
            <w:vAlign w:val="center"/>
          </w:tcPr>
          <w:p w14:paraId="54B2F8BD">
            <w:pPr>
              <w:pStyle w:val="11"/>
              <w:jc w:val="center"/>
              <w:rPr>
                <w:rFonts w:hint="eastAsia" w:ascii="仿宋_GB2312" w:hAnsi="仿宋_GB2312" w:eastAsia="仿宋_GB2312" w:cs="仿宋_GB2312"/>
                <w:snapToGrid w:val="0"/>
                <w:color w:val="000000"/>
                <w:sz w:val="18"/>
                <w:szCs w:val="18"/>
                <w:highlight w:val="none"/>
                <w:lang w:val="en-US" w:eastAsia="en-US" w:bidi="ar-SA"/>
              </w:rPr>
            </w:pPr>
            <w:r>
              <w:rPr>
                <w:rFonts w:hint="eastAsia" w:ascii="仿宋_GB2312" w:hAnsi="仿宋_GB2312" w:eastAsia="仿宋_GB2312" w:cs="仿宋_GB2312"/>
                <w:sz w:val="18"/>
                <w:szCs w:val="18"/>
                <w:highlight w:val="none"/>
              </w:rPr>
              <w:t>1</w:t>
            </w:r>
          </w:p>
        </w:tc>
        <w:tc>
          <w:tcPr>
            <w:tcW w:w="698" w:type="pct"/>
            <w:shd w:val="clear" w:color="auto" w:fill="auto"/>
            <w:vAlign w:val="center"/>
          </w:tcPr>
          <w:p w14:paraId="22BDE1D6">
            <w:pPr>
              <w:pStyle w:val="11"/>
              <w:rPr>
                <w:rFonts w:hint="eastAsia" w:ascii="仿宋_GB2312" w:hAnsi="仿宋_GB2312" w:eastAsia="仿宋_GB2312" w:cs="仿宋_GB2312"/>
                <w:snapToGrid w:val="0"/>
                <w:color w:val="000000"/>
                <w:sz w:val="18"/>
                <w:szCs w:val="18"/>
                <w:highlight w:val="none"/>
                <w:lang w:val="en-US" w:eastAsia="zh-CN" w:bidi="ar-SA"/>
              </w:rPr>
            </w:pPr>
            <w:r>
              <w:rPr>
                <w:rFonts w:hint="eastAsia" w:ascii="仿宋_GB2312" w:hAnsi="仿宋_GB2312" w:eastAsia="仿宋_GB2312" w:cs="仿宋_GB2312"/>
                <w:sz w:val="18"/>
                <w:szCs w:val="18"/>
                <w:highlight w:val="none"/>
                <w:lang w:eastAsia="zh-CN"/>
              </w:rPr>
              <w:t>部门本年度预算调整数与预算数的比率，用以反映和考核部门预算的调整程度。</w:t>
            </w:r>
          </w:p>
        </w:tc>
        <w:tc>
          <w:tcPr>
            <w:tcW w:w="1608" w:type="pct"/>
            <w:shd w:val="clear" w:color="auto" w:fill="auto"/>
            <w:vAlign w:val="center"/>
          </w:tcPr>
          <w:p w14:paraId="1F7FCFEB">
            <w:pPr>
              <w:pStyle w:val="11"/>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预算调整率=(预算调整数/预算数)×100%。预算调整数：部门在本年度内涉及预算的追加、追减或结构调整的资金总和(因落实国家政策，发生不可抗力、上级部门或本级党委政府临时交办而产生的调整除外)。</w:t>
            </w:r>
          </w:p>
          <w:p w14:paraId="53D36E7E">
            <w:pPr>
              <w:pStyle w:val="11"/>
              <w:rPr>
                <w:rFonts w:hint="eastAsia" w:ascii="仿宋_GB2312" w:hAnsi="仿宋_GB2312" w:eastAsia="仿宋_GB2312" w:cs="仿宋_GB2312"/>
                <w:snapToGrid w:val="0"/>
                <w:color w:val="000000"/>
                <w:sz w:val="18"/>
                <w:szCs w:val="18"/>
                <w:highlight w:val="none"/>
                <w:lang w:val="en-US" w:eastAsia="zh-CN" w:bidi="ar-SA"/>
              </w:rPr>
            </w:pPr>
            <w:r>
              <w:rPr>
                <w:rFonts w:hint="eastAsia" w:ascii="仿宋_GB2312" w:hAnsi="仿宋_GB2312" w:eastAsia="仿宋_GB2312" w:cs="仿宋_GB2312"/>
                <w:sz w:val="18"/>
                <w:szCs w:val="18"/>
                <w:highlight w:val="none"/>
                <w:lang w:eastAsia="zh-CN"/>
              </w:rPr>
              <w:t>评分规则：1.比率=0%,得满分；2.20%&lt;比率&lt;0%,每增加1%,扣5%的权重分，扣完为止。</w:t>
            </w:r>
          </w:p>
        </w:tc>
        <w:tc>
          <w:tcPr>
            <w:tcW w:w="1240" w:type="pct"/>
            <w:shd w:val="clear" w:color="auto" w:fill="auto"/>
            <w:vAlign w:val="center"/>
          </w:tcPr>
          <w:p w14:paraId="722734CE">
            <w:pPr>
              <w:pStyle w:val="11"/>
              <w:rPr>
                <w:rFonts w:hint="eastAsia" w:ascii="仿宋_GB2312" w:hAnsi="仿宋_GB2312" w:eastAsia="仿宋_GB2312" w:cs="仿宋_GB2312"/>
                <w:sz w:val="18"/>
                <w:szCs w:val="18"/>
                <w:highlight w:val="none"/>
                <w:lang w:eastAsia="zh-CN"/>
              </w:rPr>
            </w:pPr>
          </w:p>
          <w:p w14:paraId="6C8E1C1F">
            <w:pPr>
              <w:pStyle w:val="11"/>
              <w:rPr>
                <w:rFonts w:hint="default" w:ascii="仿宋_GB2312" w:hAnsi="仿宋_GB2312" w:eastAsia="仿宋_GB2312" w:cs="仿宋_GB2312"/>
                <w:sz w:val="18"/>
                <w:szCs w:val="18"/>
                <w:highlight w:val="none"/>
                <w:lang w:val="en-US" w:eastAsia="zh-CN"/>
              </w:rPr>
            </w:pPr>
            <w:r>
              <w:rPr>
                <w:rFonts w:hint="eastAsia" w:ascii="仿宋_GB2312" w:hAnsi="仿宋_GB2312" w:eastAsia="仿宋_GB2312" w:cs="仿宋_GB2312"/>
                <w:sz w:val="18"/>
                <w:szCs w:val="18"/>
                <w:highlight w:val="none"/>
                <w:lang w:eastAsia="zh-CN"/>
              </w:rPr>
              <w:t>预算调整率=[预算调整数</w:t>
            </w:r>
            <w:r>
              <w:rPr>
                <w:rFonts w:hint="eastAsia" w:ascii="仿宋_GB2312" w:hAnsi="仿宋_GB2312" w:eastAsia="仿宋_GB2312" w:cs="仿宋_GB2312"/>
                <w:sz w:val="18"/>
                <w:szCs w:val="18"/>
                <w:highlight w:val="none"/>
                <w:lang w:val="en-US" w:eastAsia="zh-CN"/>
              </w:rPr>
              <w:t>0</w:t>
            </w:r>
            <w:r>
              <w:rPr>
                <w:rFonts w:hint="eastAsia" w:ascii="仿宋_GB2312" w:hAnsi="仿宋_GB2312" w:eastAsia="仿宋_GB2312" w:cs="仿宋_GB2312"/>
                <w:sz w:val="18"/>
                <w:szCs w:val="18"/>
                <w:highlight w:val="none"/>
                <w:lang w:eastAsia="zh-CN"/>
              </w:rPr>
              <w:t>万元/预算数</w:t>
            </w:r>
            <w:r>
              <w:rPr>
                <w:rFonts w:hint="eastAsia" w:ascii="仿宋_GB2312" w:hAnsi="仿宋_GB2312" w:eastAsia="仿宋_GB2312" w:cs="仿宋_GB2312"/>
                <w:sz w:val="18"/>
                <w:szCs w:val="18"/>
                <w:highlight w:val="none"/>
                <w:lang w:val="en-US" w:eastAsia="zh-CN"/>
              </w:rPr>
              <w:t>1571.4</w:t>
            </w:r>
            <w:r>
              <w:rPr>
                <w:rFonts w:hint="eastAsia" w:ascii="仿宋_GB2312" w:hAnsi="仿宋_GB2312" w:eastAsia="仿宋_GB2312" w:cs="仿宋_GB2312"/>
                <w:sz w:val="18"/>
                <w:szCs w:val="18"/>
                <w:highlight w:val="none"/>
                <w:lang w:eastAsia="zh-CN"/>
              </w:rPr>
              <w:t>万元]×100%=</w:t>
            </w:r>
            <w:r>
              <w:rPr>
                <w:rFonts w:hint="eastAsia" w:ascii="仿宋_GB2312" w:hAnsi="仿宋_GB2312" w:eastAsia="仿宋_GB2312" w:cs="仿宋_GB2312"/>
                <w:sz w:val="18"/>
                <w:szCs w:val="18"/>
                <w:highlight w:val="none"/>
                <w:lang w:val="en-US" w:eastAsia="zh-CN"/>
              </w:rPr>
              <w:t>0</w:t>
            </w:r>
            <w:r>
              <w:rPr>
                <w:rFonts w:hint="eastAsia" w:ascii="仿宋_GB2312" w:hAnsi="仿宋_GB2312" w:eastAsia="仿宋_GB2312" w:cs="仿宋_GB2312"/>
                <w:sz w:val="18"/>
                <w:szCs w:val="18"/>
                <w:highlight w:val="none"/>
                <w:lang w:eastAsia="zh-CN"/>
              </w:rPr>
              <w:t>%,为解决仲裁员报酬问题，预算调增</w:t>
            </w:r>
            <w:r>
              <w:rPr>
                <w:rFonts w:hint="eastAsia" w:ascii="仿宋_GB2312" w:hAnsi="仿宋_GB2312" w:eastAsia="仿宋_GB2312" w:cs="仿宋_GB2312"/>
                <w:sz w:val="18"/>
                <w:szCs w:val="18"/>
                <w:highlight w:val="none"/>
                <w:lang w:val="en-US" w:eastAsia="zh-CN"/>
              </w:rPr>
              <w:t>894.28万元，</w:t>
            </w:r>
            <w:r>
              <w:rPr>
                <w:rFonts w:hint="eastAsia" w:ascii="仿宋_GB2312" w:hAnsi="仿宋_GB2312" w:eastAsia="仿宋_GB2312" w:cs="仿宋_GB2312"/>
                <w:sz w:val="18"/>
                <w:szCs w:val="18"/>
                <w:highlight w:val="none"/>
                <w:lang w:eastAsia="zh-CN"/>
              </w:rPr>
              <w:t>依据评分标准，不扣分。</w:t>
            </w:r>
          </w:p>
        </w:tc>
        <w:tc>
          <w:tcPr>
            <w:tcW w:w="233" w:type="pct"/>
            <w:shd w:val="clear" w:color="auto" w:fill="auto"/>
            <w:vAlign w:val="center"/>
          </w:tcPr>
          <w:p w14:paraId="3EDE1553">
            <w:pPr>
              <w:pStyle w:val="11"/>
              <w:jc w:val="center"/>
              <w:rPr>
                <w:rFonts w:hint="default" w:ascii="仿宋_GB2312" w:hAnsi="仿宋_GB2312" w:eastAsia="仿宋_GB2312" w:cs="仿宋_GB2312"/>
                <w:snapToGrid w:val="0"/>
                <w:color w:val="000000"/>
                <w:sz w:val="18"/>
                <w:szCs w:val="18"/>
                <w:highlight w:val="none"/>
                <w:lang w:val="en-US" w:eastAsia="zh-CN" w:bidi="ar-SA"/>
              </w:rPr>
            </w:pPr>
            <w:r>
              <w:rPr>
                <w:rFonts w:hint="eastAsia" w:ascii="仿宋_GB2312" w:hAnsi="仿宋_GB2312" w:eastAsia="仿宋_GB2312" w:cs="仿宋_GB2312"/>
                <w:sz w:val="18"/>
                <w:szCs w:val="18"/>
                <w:highlight w:val="none"/>
                <w:lang w:val="en-US" w:eastAsia="zh-CN"/>
              </w:rPr>
              <w:t>1</w:t>
            </w:r>
          </w:p>
        </w:tc>
      </w:tr>
      <w:tr w14:paraId="6C9179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2" w:hRule="atLeast"/>
          <w:jc w:val="center"/>
        </w:trPr>
        <w:tc>
          <w:tcPr>
            <w:tcW w:w="254" w:type="pct"/>
            <w:vMerge w:val="continue"/>
            <w:vAlign w:val="center"/>
          </w:tcPr>
          <w:p w14:paraId="1D575AE0">
            <w:pPr>
              <w:pStyle w:val="11"/>
              <w:jc w:val="center"/>
              <w:rPr>
                <w:rFonts w:hint="eastAsia" w:ascii="仿宋_GB2312" w:hAnsi="仿宋_GB2312" w:eastAsia="仿宋_GB2312" w:cs="仿宋_GB2312"/>
                <w:sz w:val="18"/>
                <w:szCs w:val="18"/>
                <w:highlight w:val="none"/>
              </w:rPr>
            </w:pPr>
          </w:p>
        </w:tc>
        <w:tc>
          <w:tcPr>
            <w:tcW w:w="297" w:type="pct"/>
            <w:vMerge w:val="continue"/>
            <w:vAlign w:val="center"/>
          </w:tcPr>
          <w:p w14:paraId="7E2C3C97">
            <w:pPr>
              <w:pStyle w:val="11"/>
              <w:jc w:val="center"/>
              <w:rPr>
                <w:rFonts w:hint="eastAsia" w:ascii="仿宋_GB2312" w:hAnsi="仿宋_GB2312" w:eastAsia="仿宋_GB2312" w:cs="仿宋_GB2312"/>
                <w:sz w:val="18"/>
                <w:szCs w:val="18"/>
                <w:highlight w:val="none"/>
              </w:rPr>
            </w:pPr>
          </w:p>
        </w:tc>
        <w:tc>
          <w:tcPr>
            <w:tcW w:w="284" w:type="pct"/>
            <w:shd w:val="clear" w:color="auto" w:fill="auto"/>
            <w:vAlign w:val="center"/>
          </w:tcPr>
          <w:p w14:paraId="7706983D">
            <w:pPr>
              <w:pStyle w:val="11"/>
              <w:jc w:val="center"/>
              <w:rPr>
                <w:rFonts w:hint="eastAsia" w:ascii="仿宋_GB2312" w:hAnsi="仿宋_GB2312" w:eastAsia="仿宋_GB2312" w:cs="仿宋_GB2312"/>
                <w:sz w:val="18"/>
                <w:szCs w:val="18"/>
                <w:highlight w:val="none"/>
              </w:rPr>
            </w:pPr>
            <w:r>
              <w:rPr>
                <w:rFonts w:hint="eastAsia" w:ascii="仿宋_GB2312" w:hAnsi="仿宋_GB2312" w:eastAsia="仿宋_GB2312" w:cs="仿宋_GB2312"/>
                <w:sz w:val="18"/>
                <w:szCs w:val="18"/>
                <w:highlight w:val="none"/>
              </w:rPr>
              <w:t>B12</w:t>
            </w:r>
          </w:p>
          <w:p w14:paraId="58E20E5C">
            <w:pPr>
              <w:pStyle w:val="11"/>
              <w:jc w:val="center"/>
              <w:rPr>
                <w:rFonts w:hint="eastAsia" w:ascii="仿宋_GB2312" w:hAnsi="仿宋_GB2312" w:eastAsia="仿宋_GB2312" w:cs="仿宋_GB2312"/>
                <w:snapToGrid w:val="0"/>
                <w:color w:val="000000"/>
                <w:sz w:val="18"/>
                <w:szCs w:val="18"/>
                <w:highlight w:val="none"/>
                <w:lang w:val="en-US" w:eastAsia="en-US" w:bidi="ar-SA"/>
              </w:rPr>
            </w:pPr>
            <w:r>
              <w:rPr>
                <w:rFonts w:hint="eastAsia" w:ascii="仿宋_GB2312" w:hAnsi="仿宋_GB2312" w:eastAsia="仿宋_GB2312" w:cs="仿宋_GB2312"/>
                <w:sz w:val="18"/>
                <w:szCs w:val="18"/>
                <w:highlight w:val="none"/>
              </w:rPr>
              <w:t>支付进度符合率</w:t>
            </w:r>
          </w:p>
        </w:tc>
        <w:tc>
          <w:tcPr>
            <w:tcW w:w="231" w:type="pct"/>
            <w:shd w:val="clear" w:color="auto" w:fill="auto"/>
            <w:vAlign w:val="center"/>
          </w:tcPr>
          <w:p w14:paraId="00869387">
            <w:pPr>
              <w:pStyle w:val="11"/>
              <w:jc w:val="center"/>
              <w:rPr>
                <w:rFonts w:hint="eastAsia" w:ascii="仿宋_GB2312" w:hAnsi="仿宋_GB2312" w:eastAsia="仿宋_GB2312" w:cs="仿宋_GB2312"/>
                <w:snapToGrid w:val="0"/>
                <w:color w:val="000000"/>
                <w:sz w:val="18"/>
                <w:szCs w:val="18"/>
                <w:highlight w:val="none"/>
                <w:lang w:val="en-US" w:eastAsia="zh-CN" w:bidi="ar-SA"/>
              </w:rPr>
            </w:pPr>
            <w:r>
              <w:rPr>
                <w:rFonts w:hint="eastAsia" w:ascii="仿宋_GB2312" w:hAnsi="仿宋_GB2312" w:eastAsia="仿宋_GB2312" w:cs="仿宋_GB2312"/>
                <w:sz w:val="18"/>
                <w:szCs w:val="18"/>
                <w:highlight w:val="none"/>
                <w:lang w:eastAsia="zh-CN"/>
              </w:rPr>
              <w:t>=</w:t>
            </w:r>
            <w:r>
              <w:rPr>
                <w:rFonts w:hint="eastAsia" w:ascii="仿宋_GB2312" w:hAnsi="仿宋_GB2312" w:eastAsia="仿宋_GB2312" w:cs="仿宋_GB2312"/>
                <w:sz w:val="18"/>
                <w:szCs w:val="18"/>
                <w:highlight w:val="none"/>
              </w:rPr>
              <w:t>100%</w:t>
            </w:r>
          </w:p>
        </w:tc>
        <w:tc>
          <w:tcPr>
            <w:tcW w:w="151" w:type="pct"/>
            <w:shd w:val="clear" w:color="auto" w:fill="auto"/>
            <w:vAlign w:val="center"/>
          </w:tcPr>
          <w:p w14:paraId="36FAF4B3">
            <w:pPr>
              <w:pStyle w:val="11"/>
              <w:jc w:val="center"/>
              <w:rPr>
                <w:rFonts w:hint="eastAsia" w:ascii="仿宋_GB2312" w:hAnsi="仿宋_GB2312" w:eastAsia="仿宋_GB2312" w:cs="仿宋_GB2312"/>
                <w:snapToGrid w:val="0"/>
                <w:color w:val="000000"/>
                <w:sz w:val="18"/>
                <w:szCs w:val="18"/>
                <w:highlight w:val="none"/>
                <w:lang w:val="en-US" w:eastAsia="en-US" w:bidi="ar-SA"/>
              </w:rPr>
            </w:pPr>
            <w:r>
              <w:rPr>
                <w:rFonts w:hint="eastAsia" w:ascii="仿宋_GB2312" w:hAnsi="仿宋_GB2312" w:eastAsia="仿宋_GB2312" w:cs="仿宋_GB2312"/>
                <w:sz w:val="18"/>
                <w:szCs w:val="18"/>
                <w:highlight w:val="none"/>
              </w:rPr>
              <w:t>1</w:t>
            </w:r>
          </w:p>
        </w:tc>
        <w:tc>
          <w:tcPr>
            <w:tcW w:w="698" w:type="pct"/>
            <w:shd w:val="clear" w:color="auto" w:fill="auto"/>
            <w:vAlign w:val="center"/>
          </w:tcPr>
          <w:p w14:paraId="0097FFF7">
            <w:pPr>
              <w:pStyle w:val="11"/>
              <w:rPr>
                <w:rFonts w:hint="eastAsia" w:ascii="仿宋_GB2312" w:hAnsi="仿宋_GB2312" w:eastAsia="仿宋_GB2312" w:cs="仿宋_GB2312"/>
                <w:snapToGrid w:val="0"/>
                <w:color w:val="000000"/>
                <w:sz w:val="18"/>
                <w:szCs w:val="18"/>
                <w:highlight w:val="none"/>
                <w:lang w:val="en-US" w:eastAsia="zh-CN" w:bidi="ar-SA"/>
              </w:rPr>
            </w:pPr>
            <w:r>
              <w:rPr>
                <w:rFonts w:hint="eastAsia" w:ascii="仿宋_GB2312" w:hAnsi="仿宋_GB2312" w:eastAsia="仿宋_GB2312" w:cs="仿宋_GB2312"/>
                <w:sz w:val="18"/>
                <w:szCs w:val="18"/>
                <w:highlight w:val="none"/>
                <w:lang w:eastAsia="zh-CN"/>
              </w:rPr>
              <w:t>部门实际支付进度与既定支付进度的比率，用以反映和考核部门)预算执行的及时性和均衡性程度</w:t>
            </w:r>
          </w:p>
        </w:tc>
        <w:tc>
          <w:tcPr>
            <w:tcW w:w="1608" w:type="pct"/>
            <w:shd w:val="clear" w:color="auto" w:fill="auto"/>
            <w:vAlign w:val="center"/>
          </w:tcPr>
          <w:p w14:paraId="064BECC0">
            <w:pPr>
              <w:pStyle w:val="11"/>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支付进度符合率=(实际支付进度/计划支付进度)×100%。实际支付进度：部门在某一时点的支出数与年度预算数的比率。计划支付进度：由部门在申报部门整体绩效目标时确定的支付进度(比率)。</w:t>
            </w:r>
          </w:p>
          <w:p w14:paraId="13349A4A">
            <w:pPr>
              <w:pStyle w:val="11"/>
              <w:rPr>
                <w:rFonts w:hint="eastAsia" w:ascii="仿宋_GB2312" w:hAnsi="仿宋_GB2312" w:eastAsia="仿宋_GB2312" w:cs="仿宋_GB2312"/>
                <w:snapToGrid w:val="0"/>
                <w:color w:val="000000"/>
                <w:sz w:val="18"/>
                <w:szCs w:val="18"/>
                <w:highlight w:val="none"/>
                <w:lang w:val="en-US" w:eastAsia="zh-CN" w:bidi="ar-SA"/>
              </w:rPr>
            </w:pPr>
            <w:r>
              <w:rPr>
                <w:rFonts w:hint="eastAsia" w:ascii="仿宋_GB2312" w:hAnsi="仿宋_GB2312" w:eastAsia="仿宋_GB2312" w:cs="仿宋_GB2312"/>
                <w:sz w:val="18"/>
                <w:szCs w:val="18"/>
                <w:highlight w:val="none"/>
                <w:lang w:eastAsia="zh-CN"/>
              </w:rPr>
              <w:t>评分规则：1.比率&gt;100%,得满分；2.比率&lt;100%,每减少1%,扣2%的权重分，扣完为止。</w:t>
            </w:r>
          </w:p>
        </w:tc>
        <w:tc>
          <w:tcPr>
            <w:tcW w:w="1240" w:type="pct"/>
            <w:shd w:val="clear" w:color="auto" w:fill="auto"/>
            <w:vAlign w:val="center"/>
          </w:tcPr>
          <w:p w14:paraId="18A06FB5">
            <w:pPr>
              <w:pStyle w:val="11"/>
              <w:rPr>
                <w:rFonts w:hint="eastAsia" w:ascii="仿宋_GB2312" w:hAnsi="仿宋_GB2312" w:eastAsia="仿宋_GB2312" w:cs="仿宋_GB2312"/>
                <w:sz w:val="18"/>
                <w:szCs w:val="18"/>
                <w:highlight w:val="none"/>
                <w:lang w:eastAsia="zh-CN"/>
              </w:rPr>
            </w:pPr>
          </w:p>
          <w:p w14:paraId="76988F98">
            <w:pPr>
              <w:pStyle w:val="11"/>
              <w:rPr>
                <w:rFonts w:hint="eastAsia" w:ascii="仿宋_GB2312" w:hAnsi="仿宋_GB2312" w:eastAsia="仿宋_GB2312" w:cs="仿宋_GB2312"/>
                <w:snapToGrid w:val="0"/>
                <w:color w:val="000000"/>
                <w:sz w:val="18"/>
                <w:szCs w:val="18"/>
                <w:highlight w:val="none"/>
                <w:lang w:val="en-US" w:eastAsia="zh-CN" w:bidi="ar-SA"/>
              </w:rPr>
            </w:pPr>
            <w:r>
              <w:rPr>
                <w:rFonts w:hint="eastAsia" w:ascii="仿宋_GB2312" w:hAnsi="仿宋_GB2312" w:eastAsia="仿宋_GB2312" w:cs="仿宋_GB2312"/>
                <w:sz w:val="18"/>
                <w:szCs w:val="18"/>
                <w:highlight w:val="none"/>
                <w:lang w:eastAsia="zh-CN"/>
              </w:rPr>
              <w:t>支付进度符合率=(实际支付进度</w:t>
            </w:r>
            <w:r>
              <w:rPr>
                <w:rFonts w:hint="eastAsia" w:ascii="仿宋_GB2312" w:hAnsi="仿宋_GB2312" w:eastAsia="仿宋_GB2312" w:cs="仿宋_GB2312"/>
                <w:sz w:val="18"/>
                <w:szCs w:val="18"/>
                <w:highlight w:val="none"/>
                <w:lang w:val="en-US" w:eastAsia="zh-CN"/>
              </w:rPr>
              <w:t>2465.68</w:t>
            </w:r>
            <w:r>
              <w:rPr>
                <w:rFonts w:hint="eastAsia" w:ascii="仿宋_GB2312" w:hAnsi="仿宋_GB2312" w:eastAsia="仿宋_GB2312" w:cs="仿宋_GB2312"/>
                <w:sz w:val="18"/>
                <w:szCs w:val="18"/>
                <w:highlight w:val="none"/>
                <w:lang w:eastAsia="zh-CN"/>
              </w:rPr>
              <w:t>万元/计划支付进度</w:t>
            </w:r>
            <w:r>
              <w:rPr>
                <w:rFonts w:hint="eastAsia" w:ascii="仿宋_GB2312" w:hAnsi="仿宋_GB2312" w:eastAsia="仿宋_GB2312" w:cs="仿宋_GB2312"/>
                <w:sz w:val="18"/>
                <w:szCs w:val="18"/>
                <w:highlight w:val="none"/>
                <w:lang w:val="en-US" w:eastAsia="zh-CN"/>
              </w:rPr>
              <w:t>2465.68</w:t>
            </w:r>
            <w:r>
              <w:rPr>
                <w:rFonts w:hint="eastAsia" w:ascii="仿宋_GB2312" w:hAnsi="仿宋_GB2312" w:eastAsia="仿宋_GB2312" w:cs="仿宋_GB2312"/>
                <w:sz w:val="18"/>
                <w:szCs w:val="18"/>
                <w:highlight w:val="none"/>
                <w:lang w:eastAsia="zh-CN"/>
              </w:rPr>
              <w:t>万元)×100%=100%。</w:t>
            </w:r>
          </w:p>
        </w:tc>
        <w:tc>
          <w:tcPr>
            <w:tcW w:w="233" w:type="pct"/>
            <w:shd w:val="clear" w:color="auto" w:fill="auto"/>
            <w:vAlign w:val="center"/>
          </w:tcPr>
          <w:p w14:paraId="700A2624">
            <w:pPr>
              <w:pStyle w:val="11"/>
              <w:jc w:val="center"/>
              <w:rPr>
                <w:rFonts w:hint="eastAsia" w:ascii="仿宋_GB2312" w:hAnsi="仿宋_GB2312" w:eastAsia="仿宋_GB2312" w:cs="仿宋_GB2312"/>
                <w:snapToGrid w:val="0"/>
                <w:color w:val="000000"/>
                <w:sz w:val="18"/>
                <w:szCs w:val="18"/>
                <w:highlight w:val="none"/>
                <w:lang w:val="en-US" w:eastAsia="zh-CN" w:bidi="ar-SA"/>
              </w:rPr>
            </w:pPr>
            <w:r>
              <w:rPr>
                <w:rFonts w:hint="eastAsia" w:ascii="仿宋_GB2312" w:hAnsi="仿宋_GB2312" w:eastAsia="仿宋_GB2312" w:cs="仿宋_GB2312"/>
                <w:sz w:val="18"/>
                <w:szCs w:val="18"/>
                <w:highlight w:val="none"/>
              </w:rPr>
              <w:t>1</w:t>
            </w:r>
          </w:p>
        </w:tc>
      </w:tr>
      <w:tr w14:paraId="1C27CD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40" w:hRule="atLeast"/>
          <w:jc w:val="center"/>
        </w:trPr>
        <w:tc>
          <w:tcPr>
            <w:tcW w:w="254" w:type="pct"/>
            <w:vMerge w:val="continue"/>
            <w:vAlign w:val="center"/>
          </w:tcPr>
          <w:p w14:paraId="4F338BF7">
            <w:pPr>
              <w:pStyle w:val="11"/>
              <w:jc w:val="center"/>
              <w:rPr>
                <w:rFonts w:hint="eastAsia" w:ascii="仿宋_GB2312" w:hAnsi="仿宋_GB2312" w:eastAsia="仿宋_GB2312" w:cs="仿宋_GB2312"/>
                <w:sz w:val="18"/>
                <w:szCs w:val="18"/>
                <w:highlight w:val="none"/>
              </w:rPr>
            </w:pPr>
          </w:p>
        </w:tc>
        <w:tc>
          <w:tcPr>
            <w:tcW w:w="297" w:type="pct"/>
            <w:vMerge w:val="continue"/>
            <w:vAlign w:val="center"/>
          </w:tcPr>
          <w:p w14:paraId="59511F62">
            <w:pPr>
              <w:pStyle w:val="11"/>
              <w:jc w:val="center"/>
              <w:rPr>
                <w:rFonts w:hint="eastAsia" w:ascii="仿宋_GB2312" w:hAnsi="仿宋_GB2312" w:eastAsia="仿宋_GB2312" w:cs="仿宋_GB2312"/>
                <w:sz w:val="18"/>
                <w:szCs w:val="18"/>
                <w:highlight w:val="none"/>
              </w:rPr>
            </w:pPr>
          </w:p>
        </w:tc>
        <w:tc>
          <w:tcPr>
            <w:tcW w:w="284" w:type="pct"/>
            <w:shd w:val="clear" w:color="auto" w:fill="auto"/>
            <w:vAlign w:val="center"/>
          </w:tcPr>
          <w:p w14:paraId="45B2BDE0">
            <w:pPr>
              <w:pStyle w:val="11"/>
              <w:jc w:val="center"/>
              <w:rPr>
                <w:rFonts w:hint="eastAsia" w:ascii="仿宋_GB2312" w:hAnsi="仿宋_GB2312" w:eastAsia="仿宋_GB2312" w:cs="仿宋_GB2312"/>
                <w:sz w:val="18"/>
                <w:szCs w:val="18"/>
                <w:highlight w:val="none"/>
              </w:rPr>
            </w:pPr>
            <w:r>
              <w:rPr>
                <w:rFonts w:hint="eastAsia" w:ascii="仿宋_GB2312" w:hAnsi="仿宋_GB2312" w:eastAsia="仿宋_GB2312" w:cs="仿宋_GB2312"/>
                <w:sz w:val="18"/>
                <w:szCs w:val="18"/>
                <w:highlight w:val="none"/>
              </w:rPr>
              <w:t>B13</w:t>
            </w:r>
          </w:p>
          <w:p w14:paraId="5B41A6EF">
            <w:pPr>
              <w:pStyle w:val="11"/>
              <w:jc w:val="center"/>
              <w:rPr>
                <w:rFonts w:hint="eastAsia" w:ascii="仿宋_GB2312" w:hAnsi="仿宋_GB2312" w:eastAsia="仿宋_GB2312" w:cs="仿宋_GB2312"/>
                <w:snapToGrid w:val="0"/>
                <w:color w:val="000000"/>
                <w:sz w:val="18"/>
                <w:szCs w:val="18"/>
                <w:highlight w:val="none"/>
                <w:lang w:val="en-US" w:eastAsia="en-US" w:bidi="ar-SA"/>
              </w:rPr>
            </w:pPr>
            <w:r>
              <w:rPr>
                <w:rFonts w:hint="eastAsia" w:ascii="仿宋_GB2312" w:hAnsi="仿宋_GB2312" w:eastAsia="仿宋_GB2312" w:cs="仿宋_GB2312"/>
                <w:sz w:val="18"/>
                <w:szCs w:val="18"/>
                <w:highlight w:val="none"/>
              </w:rPr>
              <w:t>预算执行率</w:t>
            </w:r>
          </w:p>
        </w:tc>
        <w:tc>
          <w:tcPr>
            <w:tcW w:w="231" w:type="pct"/>
            <w:shd w:val="clear" w:color="auto" w:fill="auto"/>
            <w:vAlign w:val="center"/>
          </w:tcPr>
          <w:p w14:paraId="02B897C3">
            <w:pPr>
              <w:pStyle w:val="11"/>
              <w:jc w:val="center"/>
              <w:rPr>
                <w:rFonts w:hint="eastAsia" w:ascii="仿宋_GB2312" w:hAnsi="仿宋_GB2312" w:eastAsia="仿宋_GB2312" w:cs="仿宋_GB2312"/>
                <w:snapToGrid w:val="0"/>
                <w:color w:val="000000"/>
                <w:sz w:val="18"/>
                <w:szCs w:val="18"/>
                <w:highlight w:val="none"/>
                <w:lang w:val="en-US" w:eastAsia="en-US" w:bidi="ar-SA"/>
              </w:rPr>
            </w:pPr>
            <w:r>
              <w:rPr>
                <w:rFonts w:hint="eastAsia" w:ascii="仿宋_GB2312" w:hAnsi="仿宋_GB2312" w:eastAsia="仿宋_GB2312" w:cs="仿宋_GB2312"/>
                <w:sz w:val="18"/>
                <w:szCs w:val="18"/>
                <w:highlight w:val="none"/>
                <w:lang w:eastAsia="zh-CN"/>
              </w:rPr>
              <w:t>1</w:t>
            </w:r>
            <w:r>
              <w:rPr>
                <w:rFonts w:hint="eastAsia" w:ascii="仿宋_GB2312" w:hAnsi="仿宋_GB2312" w:eastAsia="仿宋_GB2312" w:cs="仿宋_GB2312"/>
                <w:sz w:val="18"/>
                <w:szCs w:val="18"/>
                <w:highlight w:val="none"/>
              </w:rPr>
              <w:t>00%</w:t>
            </w:r>
          </w:p>
        </w:tc>
        <w:tc>
          <w:tcPr>
            <w:tcW w:w="151" w:type="pct"/>
            <w:shd w:val="clear" w:color="auto" w:fill="auto"/>
            <w:vAlign w:val="center"/>
          </w:tcPr>
          <w:p w14:paraId="6E8C7A61">
            <w:pPr>
              <w:pStyle w:val="11"/>
              <w:jc w:val="center"/>
              <w:rPr>
                <w:rFonts w:hint="eastAsia" w:ascii="仿宋_GB2312" w:hAnsi="仿宋_GB2312" w:eastAsia="仿宋_GB2312" w:cs="仿宋_GB2312"/>
                <w:snapToGrid w:val="0"/>
                <w:color w:val="000000"/>
                <w:sz w:val="18"/>
                <w:szCs w:val="18"/>
                <w:highlight w:val="none"/>
                <w:lang w:val="en-US" w:eastAsia="en-US" w:bidi="ar-SA"/>
              </w:rPr>
            </w:pPr>
            <w:r>
              <w:rPr>
                <w:rFonts w:hint="eastAsia" w:ascii="仿宋_GB2312" w:hAnsi="仿宋_GB2312" w:eastAsia="仿宋_GB2312" w:cs="仿宋_GB2312"/>
                <w:sz w:val="18"/>
                <w:szCs w:val="18"/>
                <w:highlight w:val="none"/>
              </w:rPr>
              <w:t>2</w:t>
            </w:r>
          </w:p>
        </w:tc>
        <w:tc>
          <w:tcPr>
            <w:tcW w:w="698" w:type="pct"/>
            <w:shd w:val="clear" w:color="auto" w:fill="auto"/>
            <w:vAlign w:val="center"/>
          </w:tcPr>
          <w:p w14:paraId="3EEB8A3B">
            <w:pPr>
              <w:pStyle w:val="11"/>
              <w:rPr>
                <w:rFonts w:hint="eastAsia" w:ascii="仿宋_GB2312" w:hAnsi="仿宋_GB2312" w:eastAsia="仿宋_GB2312" w:cs="仿宋_GB2312"/>
                <w:snapToGrid w:val="0"/>
                <w:color w:val="000000"/>
                <w:sz w:val="18"/>
                <w:szCs w:val="18"/>
                <w:highlight w:val="none"/>
                <w:lang w:val="en-US" w:eastAsia="zh-CN" w:bidi="ar-SA"/>
              </w:rPr>
            </w:pPr>
            <w:r>
              <w:rPr>
                <w:rFonts w:hint="eastAsia" w:ascii="仿宋_GB2312" w:hAnsi="仿宋_GB2312" w:eastAsia="仿宋_GB2312" w:cs="仿宋_GB2312"/>
                <w:sz w:val="18"/>
                <w:szCs w:val="18"/>
                <w:highlight w:val="none"/>
                <w:lang w:eastAsia="zh-CN"/>
              </w:rPr>
              <w:t>部门本年度预算执行数与调整预算数的比率，用以反映和考核部门预算完成程度。</w:t>
            </w:r>
          </w:p>
        </w:tc>
        <w:tc>
          <w:tcPr>
            <w:tcW w:w="1608" w:type="pct"/>
            <w:shd w:val="clear" w:color="auto" w:fill="auto"/>
            <w:vAlign w:val="center"/>
          </w:tcPr>
          <w:p w14:paraId="5D320B5B">
            <w:pPr>
              <w:pStyle w:val="11"/>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评价要点：</w:t>
            </w:r>
          </w:p>
          <w:p w14:paraId="1859F12D">
            <w:pPr>
              <w:pStyle w:val="11"/>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1.基本支出预算执行率=(基本支出预算执行数/基本支出调整预算数)×100%；</w:t>
            </w:r>
          </w:p>
          <w:p w14:paraId="1E9040C3">
            <w:pPr>
              <w:pStyle w:val="11"/>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2.项目支出预算执行率=(项目支出预算执行数/项目支出调整预算数)x100%。</w:t>
            </w:r>
          </w:p>
          <w:p w14:paraId="7E294B17">
            <w:pPr>
              <w:pStyle w:val="11"/>
              <w:rPr>
                <w:rFonts w:hint="eastAsia" w:ascii="仿宋_GB2312" w:hAnsi="仿宋_GB2312" w:eastAsia="仿宋_GB2312" w:cs="仿宋_GB2312"/>
                <w:snapToGrid w:val="0"/>
                <w:color w:val="000000"/>
                <w:sz w:val="18"/>
                <w:szCs w:val="18"/>
                <w:highlight w:val="none"/>
                <w:lang w:val="en-US" w:eastAsia="zh-CN" w:bidi="ar-SA"/>
              </w:rPr>
            </w:pPr>
            <w:r>
              <w:rPr>
                <w:rFonts w:hint="eastAsia" w:ascii="仿宋_GB2312" w:hAnsi="仿宋_GB2312" w:eastAsia="仿宋_GB2312" w:cs="仿宋_GB2312"/>
                <w:sz w:val="18"/>
                <w:szCs w:val="18"/>
                <w:highlight w:val="none"/>
                <w:lang w:eastAsia="zh-CN"/>
              </w:rPr>
              <w:t>评分规则：以上评价要点各占1/2权重，得分=(基本支出预算执行率+项目支出预算执行率)×50%×分值。</w:t>
            </w:r>
          </w:p>
        </w:tc>
        <w:tc>
          <w:tcPr>
            <w:tcW w:w="1240" w:type="pct"/>
            <w:shd w:val="clear" w:color="auto" w:fill="auto"/>
            <w:vAlign w:val="center"/>
          </w:tcPr>
          <w:p w14:paraId="4A662F21">
            <w:pPr>
              <w:pStyle w:val="11"/>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基本支出预算执行率=(基本支出预算执行数</w:t>
            </w:r>
            <w:r>
              <w:rPr>
                <w:rFonts w:hint="eastAsia" w:ascii="仿宋_GB2312" w:hAnsi="仿宋_GB2312" w:eastAsia="仿宋_GB2312" w:cs="仿宋_GB2312"/>
                <w:sz w:val="18"/>
                <w:szCs w:val="18"/>
                <w:highlight w:val="none"/>
                <w:lang w:val="en-US" w:eastAsia="zh-CN"/>
              </w:rPr>
              <w:t>1196.24</w:t>
            </w:r>
            <w:r>
              <w:rPr>
                <w:rFonts w:hint="eastAsia" w:ascii="仿宋_GB2312" w:hAnsi="仿宋_GB2312" w:eastAsia="仿宋_GB2312" w:cs="仿宋_GB2312"/>
                <w:sz w:val="18"/>
                <w:szCs w:val="18"/>
                <w:highlight w:val="none"/>
                <w:lang w:eastAsia="zh-CN"/>
              </w:rPr>
              <w:t>万元/基本支出调整预算数</w:t>
            </w:r>
            <w:r>
              <w:rPr>
                <w:rFonts w:hint="eastAsia" w:ascii="仿宋_GB2312" w:hAnsi="仿宋_GB2312" w:eastAsia="仿宋_GB2312" w:cs="仿宋_GB2312"/>
                <w:sz w:val="18"/>
                <w:szCs w:val="18"/>
                <w:highlight w:val="none"/>
                <w:lang w:val="en-US" w:eastAsia="zh-CN"/>
              </w:rPr>
              <w:t>1196.24</w:t>
            </w:r>
            <w:r>
              <w:rPr>
                <w:rFonts w:hint="eastAsia" w:ascii="仿宋_GB2312" w:hAnsi="仿宋_GB2312" w:eastAsia="仿宋_GB2312" w:cs="仿宋_GB2312"/>
                <w:sz w:val="18"/>
                <w:szCs w:val="18"/>
                <w:highlight w:val="none"/>
                <w:lang w:eastAsia="zh-CN"/>
              </w:rPr>
              <w:t>万元)×100%=100.00%;</w:t>
            </w:r>
          </w:p>
          <w:p w14:paraId="0AF7F474">
            <w:pPr>
              <w:pStyle w:val="11"/>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项目支出预算执行率=(项目支出预算执行数</w:t>
            </w:r>
            <w:r>
              <w:rPr>
                <w:rFonts w:hint="eastAsia" w:ascii="仿宋_GB2312" w:hAnsi="仿宋_GB2312" w:eastAsia="仿宋_GB2312" w:cs="仿宋_GB2312"/>
                <w:sz w:val="18"/>
                <w:szCs w:val="18"/>
                <w:highlight w:val="none"/>
                <w:lang w:val="en-US" w:eastAsia="zh-CN"/>
              </w:rPr>
              <w:t>1269.44</w:t>
            </w:r>
            <w:r>
              <w:rPr>
                <w:rFonts w:hint="eastAsia" w:ascii="仿宋_GB2312" w:hAnsi="仿宋_GB2312" w:eastAsia="仿宋_GB2312" w:cs="仿宋_GB2312"/>
                <w:sz w:val="18"/>
                <w:szCs w:val="18"/>
                <w:highlight w:val="none"/>
                <w:lang w:eastAsia="zh-CN"/>
              </w:rPr>
              <w:t>万元/</w:t>
            </w:r>
          </w:p>
          <w:p w14:paraId="4BBEA81A">
            <w:pPr>
              <w:pStyle w:val="11"/>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项目支出调整预算数</w:t>
            </w:r>
            <w:r>
              <w:rPr>
                <w:rFonts w:hint="eastAsia" w:ascii="仿宋_GB2312" w:hAnsi="仿宋_GB2312" w:eastAsia="仿宋_GB2312" w:cs="仿宋_GB2312"/>
                <w:sz w:val="18"/>
                <w:szCs w:val="18"/>
                <w:highlight w:val="none"/>
                <w:lang w:val="en-US" w:eastAsia="zh-CN"/>
              </w:rPr>
              <w:t>1269.44</w:t>
            </w:r>
            <w:r>
              <w:rPr>
                <w:rFonts w:hint="eastAsia" w:ascii="仿宋_GB2312" w:hAnsi="仿宋_GB2312" w:eastAsia="仿宋_GB2312" w:cs="仿宋_GB2312"/>
                <w:sz w:val="18"/>
                <w:szCs w:val="18"/>
                <w:highlight w:val="none"/>
                <w:lang w:eastAsia="zh-CN"/>
              </w:rPr>
              <w:t>万元)×100%=100%;</w:t>
            </w:r>
          </w:p>
          <w:p w14:paraId="4FB2AB55">
            <w:pPr>
              <w:pStyle w:val="11"/>
              <w:rPr>
                <w:rFonts w:hint="eastAsia" w:ascii="仿宋_GB2312" w:hAnsi="仿宋_GB2312" w:eastAsia="仿宋_GB2312" w:cs="仿宋_GB2312"/>
                <w:snapToGrid w:val="0"/>
                <w:color w:val="000000"/>
                <w:sz w:val="18"/>
                <w:szCs w:val="18"/>
                <w:highlight w:val="none"/>
                <w:lang w:val="en-US" w:eastAsia="zh-CN" w:bidi="ar-SA"/>
              </w:rPr>
            </w:pPr>
            <w:r>
              <w:rPr>
                <w:rFonts w:hint="eastAsia" w:ascii="仿宋_GB2312" w:hAnsi="仿宋_GB2312" w:eastAsia="仿宋_GB2312" w:cs="仿宋_GB2312"/>
                <w:sz w:val="18"/>
                <w:szCs w:val="18"/>
                <w:highlight w:val="none"/>
                <w:lang w:eastAsia="zh-CN"/>
              </w:rPr>
              <w:t>预算执行率=(基本支出预算执行率100.00%+项目支出预算执行率100%)/2=100%,依据评分标准，不扣分。</w:t>
            </w:r>
          </w:p>
        </w:tc>
        <w:tc>
          <w:tcPr>
            <w:tcW w:w="233" w:type="pct"/>
            <w:shd w:val="clear" w:color="auto" w:fill="auto"/>
            <w:vAlign w:val="center"/>
          </w:tcPr>
          <w:p w14:paraId="0A6B488B">
            <w:pPr>
              <w:pStyle w:val="11"/>
              <w:jc w:val="center"/>
              <w:rPr>
                <w:rFonts w:hint="eastAsia" w:ascii="仿宋_GB2312" w:hAnsi="仿宋_GB2312" w:eastAsia="仿宋_GB2312" w:cs="仿宋_GB2312"/>
                <w:snapToGrid w:val="0"/>
                <w:color w:val="000000"/>
                <w:sz w:val="18"/>
                <w:szCs w:val="18"/>
                <w:highlight w:val="none"/>
                <w:lang w:val="en-US" w:eastAsia="zh-CN" w:bidi="ar-SA"/>
              </w:rPr>
            </w:pPr>
            <w:r>
              <w:rPr>
                <w:rFonts w:hint="eastAsia" w:ascii="仿宋_GB2312" w:hAnsi="仿宋_GB2312" w:eastAsia="仿宋_GB2312" w:cs="仿宋_GB2312"/>
                <w:sz w:val="18"/>
                <w:szCs w:val="18"/>
                <w:highlight w:val="none"/>
                <w:lang w:eastAsia="zh-CN"/>
              </w:rPr>
              <w:t>2</w:t>
            </w:r>
          </w:p>
        </w:tc>
      </w:tr>
      <w:tr w14:paraId="2D7A98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254" w:type="pct"/>
            <w:vMerge w:val="continue"/>
            <w:vAlign w:val="center"/>
          </w:tcPr>
          <w:p w14:paraId="61FEF9B5">
            <w:pPr>
              <w:pStyle w:val="11"/>
              <w:jc w:val="center"/>
              <w:rPr>
                <w:rFonts w:hint="eastAsia" w:ascii="仿宋_GB2312" w:hAnsi="仿宋_GB2312" w:eastAsia="仿宋_GB2312" w:cs="仿宋_GB2312"/>
                <w:sz w:val="18"/>
                <w:szCs w:val="18"/>
                <w:highlight w:val="none"/>
              </w:rPr>
            </w:pPr>
          </w:p>
        </w:tc>
        <w:tc>
          <w:tcPr>
            <w:tcW w:w="297" w:type="pct"/>
            <w:vMerge w:val="continue"/>
            <w:vAlign w:val="center"/>
          </w:tcPr>
          <w:p w14:paraId="1FC3764B">
            <w:pPr>
              <w:pStyle w:val="11"/>
              <w:jc w:val="center"/>
              <w:rPr>
                <w:rFonts w:hint="eastAsia" w:ascii="仿宋_GB2312" w:hAnsi="仿宋_GB2312" w:eastAsia="仿宋_GB2312" w:cs="仿宋_GB2312"/>
                <w:sz w:val="18"/>
                <w:szCs w:val="18"/>
                <w:highlight w:val="none"/>
              </w:rPr>
            </w:pPr>
          </w:p>
        </w:tc>
        <w:tc>
          <w:tcPr>
            <w:tcW w:w="284" w:type="pct"/>
            <w:shd w:val="clear" w:color="auto" w:fill="auto"/>
            <w:vAlign w:val="center"/>
          </w:tcPr>
          <w:p w14:paraId="7EE0C20F">
            <w:pPr>
              <w:pStyle w:val="11"/>
              <w:jc w:val="center"/>
              <w:rPr>
                <w:rFonts w:hint="eastAsia" w:ascii="仿宋_GB2312" w:hAnsi="仿宋_GB2312" w:eastAsia="仿宋_GB2312" w:cs="仿宋_GB2312"/>
                <w:sz w:val="18"/>
                <w:szCs w:val="18"/>
                <w:highlight w:val="none"/>
              </w:rPr>
            </w:pPr>
            <w:r>
              <w:rPr>
                <w:rFonts w:hint="eastAsia" w:ascii="仿宋_GB2312" w:hAnsi="仿宋_GB2312" w:eastAsia="仿宋_GB2312" w:cs="仿宋_GB2312"/>
                <w:sz w:val="18"/>
                <w:szCs w:val="18"/>
                <w:highlight w:val="none"/>
              </w:rPr>
              <w:t>B14</w:t>
            </w:r>
          </w:p>
          <w:p w14:paraId="4A828EE6">
            <w:pPr>
              <w:pStyle w:val="11"/>
              <w:jc w:val="center"/>
              <w:rPr>
                <w:rFonts w:hint="eastAsia" w:ascii="仿宋_GB2312" w:hAnsi="仿宋_GB2312" w:eastAsia="仿宋_GB2312" w:cs="仿宋_GB2312"/>
                <w:snapToGrid w:val="0"/>
                <w:color w:val="000000"/>
                <w:sz w:val="18"/>
                <w:szCs w:val="18"/>
                <w:highlight w:val="none"/>
                <w:lang w:val="en-US" w:eastAsia="en-US" w:bidi="ar-SA"/>
              </w:rPr>
            </w:pPr>
            <w:r>
              <w:rPr>
                <w:rFonts w:hint="eastAsia" w:ascii="仿宋_GB2312" w:hAnsi="仿宋_GB2312" w:eastAsia="仿宋_GB2312" w:cs="仿宋_GB2312"/>
                <w:sz w:val="18"/>
                <w:szCs w:val="18"/>
                <w:highlight w:val="none"/>
              </w:rPr>
              <w:t>结转结余率</w:t>
            </w:r>
          </w:p>
        </w:tc>
        <w:tc>
          <w:tcPr>
            <w:tcW w:w="231" w:type="pct"/>
            <w:shd w:val="clear" w:color="auto" w:fill="auto"/>
            <w:vAlign w:val="center"/>
          </w:tcPr>
          <w:p w14:paraId="304C52AC">
            <w:pPr>
              <w:pStyle w:val="11"/>
              <w:jc w:val="center"/>
              <w:rPr>
                <w:rFonts w:hint="eastAsia" w:ascii="仿宋_GB2312" w:hAnsi="仿宋_GB2312" w:eastAsia="仿宋_GB2312" w:cs="仿宋_GB2312"/>
                <w:snapToGrid w:val="0"/>
                <w:color w:val="000000"/>
                <w:sz w:val="18"/>
                <w:szCs w:val="18"/>
                <w:highlight w:val="none"/>
                <w:lang w:val="en-US" w:eastAsia="en-US" w:bidi="ar-SA"/>
              </w:rPr>
            </w:pPr>
            <w:r>
              <w:rPr>
                <w:rFonts w:hint="eastAsia" w:ascii="仿宋_GB2312" w:hAnsi="仿宋_GB2312" w:eastAsia="仿宋_GB2312" w:cs="仿宋_GB2312"/>
                <w:sz w:val="18"/>
                <w:szCs w:val="18"/>
                <w:highlight w:val="none"/>
              </w:rPr>
              <w:t>0%</w:t>
            </w:r>
          </w:p>
        </w:tc>
        <w:tc>
          <w:tcPr>
            <w:tcW w:w="151" w:type="pct"/>
            <w:shd w:val="clear" w:color="auto" w:fill="auto"/>
            <w:vAlign w:val="center"/>
          </w:tcPr>
          <w:p w14:paraId="63589B17">
            <w:pPr>
              <w:pStyle w:val="11"/>
              <w:jc w:val="center"/>
              <w:rPr>
                <w:rFonts w:hint="eastAsia" w:ascii="仿宋_GB2312" w:hAnsi="仿宋_GB2312" w:eastAsia="仿宋_GB2312" w:cs="仿宋_GB2312"/>
                <w:snapToGrid w:val="0"/>
                <w:color w:val="000000"/>
                <w:sz w:val="18"/>
                <w:szCs w:val="18"/>
                <w:highlight w:val="none"/>
                <w:lang w:val="en-US" w:eastAsia="en-US" w:bidi="ar-SA"/>
              </w:rPr>
            </w:pPr>
            <w:r>
              <w:rPr>
                <w:rFonts w:hint="eastAsia" w:ascii="仿宋_GB2312" w:hAnsi="仿宋_GB2312" w:eastAsia="仿宋_GB2312" w:cs="仿宋_GB2312"/>
                <w:sz w:val="18"/>
                <w:szCs w:val="18"/>
                <w:highlight w:val="none"/>
              </w:rPr>
              <w:t>1</w:t>
            </w:r>
          </w:p>
        </w:tc>
        <w:tc>
          <w:tcPr>
            <w:tcW w:w="698" w:type="pct"/>
            <w:shd w:val="clear" w:color="auto" w:fill="auto"/>
            <w:vAlign w:val="center"/>
          </w:tcPr>
          <w:p w14:paraId="0771EEF4">
            <w:pPr>
              <w:pStyle w:val="11"/>
              <w:rPr>
                <w:rFonts w:hint="eastAsia" w:ascii="仿宋_GB2312" w:hAnsi="仿宋_GB2312" w:eastAsia="仿宋_GB2312" w:cs="仿宋_GB2312"/>
                <w:snapToGrid w:val="0"/>
                <w:color w:val="000000"/>
                <w:sz w:val="18"/>
                <w:szCs w:val="18"/>
                <w:highlight w:val="none"/>
                <w:lang w:val="en-US" w:eastAsia="zh-CN" w:bidi="ar-SA"/>
              </w:rPr>
            </w:pPr>
            <w:r>
              <w:rPr>
                <w:rFonts w:hint="eastAsia" w:ascii="仿宋_GB2312" w:hAnsi="仿宋_GB2312" w:eastAsia="仿宋_GB2312" w:cs="仿宋_GB2312"/>
                <w:sz w:val="18"/>
                <w:szCs w:val="18"/>
                <w:highlight w:val="none"/>
                <w:lang w:eastAsia="zh-CN"/>
              </w:rPr>
              <w:t>部门本年度结转结余总额与调整预算数的比率，用以反映和考核部门对本年度结转结余资金的实际控制程度。</w:t>
            </w:r>
          </w:p>
        </w:tc>
        <w:tc>
          <w:tcPr>
            <w:tcW w:w="1608" w:type="pct"/>
            <w:shd w:val="clear" w:color="auto" w:fill="auto"/>
            <w:vAlign w:val="center"/>
          </w:tcPr>
          <w:p w14:paraId="7761F389">
            <w:pPr>
              <w:pStyle w:val="11"/>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结转结余率=结转结余总额/调整预算数×100%。结转结余总额：部门本年度的结转资金与结余资金之和(以决算数为准，“三公”经费未执行数和政府采购节约资金等视同已支出)。</w:t>
            </w:r>
          </w:p>
          <w:p w14:paraId="0333BDB4">
            <w:pPr>
              <w:pStyle w:val="11"/>
              <w:rPr>
                <w:rFonts w:hint="eastAsia" w:ascii="仿宋_GB2312" w:hAnsi="仿宋_GB2312" w:eastAsia="仿宋_GB2312" w:cs="仿宋_GB2312"/>
                <w:snapToGrid w:val="0"/>
                <w:color w:val="000000"/>
                <w:sz w:val="18"/>
                <w:szCs w:val="18"/>
                <w:highlight w:val="none"/>
                <w:lang w:val="en-US" w:eastAsia="zh-CN" w:bidi="ar-SA"/>
              </w:rPr>
            </w:pPr>
            <w:r>
              <w:rPr>
                <w:rFonts w:hint="eastAsia" w:ascii="仿宋_GB2312" w:hAnsi="仿宋_GB2312" w:eastAsia="仿宋_GB2312" w:cs="仿宋_GB2312"/>
                <w:sz w:val="18"/>
                <w:szCs w:val="18"/>
                <w:highlight w:val="none"/>
                <w:lang w:eastAsia="zh-CN"/>
              </w:rPr>
              <w:t>评分规则：1.比率=0%,得满分；2.10%&lt;比率&lt;0%,每增加1%,扣10%的权重分，扣完为止。</w:t>
            </w:r>
          </w:p>
        </w:tc>
        <w:tc>
          <w:tcPr>
            <w:tcW w:w="1240" w:type="pct"/>
            <w:shd w:val="clear" w:color="auto" w:fill="auto"/>
            <w:vAlign w:val="center"/>
          </w:tcPr>
          <w:p w14:paraId="32092611">
            <w:pPr>
              <w:pStyle w:val="11"/>
              <w:rPr>
                <w:rFonts w:hint="eastAsia" w:ascii="仿宋_GB2312" w:hAnsi="仿宋_GB2312" w:eastAsia="仿宋_GB2312" w:cs="仿宋_GB2312"/>
                <w:snapToGrid w:val="0"/>
                <w:color w:val="000000"/>
                <w:sz w:val="18"/>
                <w:szCs w:val="18"/>
                <w:highlight w:val="none"/>
                <w:lang w:val="en-US" w:eastAsia="zh-CN" w:bidi="ar-SA"/>
              </w:rPr>
            </w:pPr>
            <w:r>
              <w:rPr>
                <w:rFonts w:hint="eastAsia" w:ascii="仿宋_GB2312" w:hAnsi="仿宋_GB2312" w:eastAsia="仿宋_GB2312" w:cs="仿宋_GB2312"/>
                <w:sz w:val="18"/>
                <w:szCs w:val="18"/>
                <w:highlight w:val="none"/>
                <w:lang w:eastAsia="zh-CN"/>
              </w:rPr>
              <w:t>结转结余率=结转结余总额0万元/调整预算数</w:t>
            </w:r>
            <w:r>
              <w:rPr>
                <w:rFonts w:hint="eastAsia" w:ascii="仿宋_GB2312" w:hAnsi="仿宋_GB2312" w:eastAsia="仿宋_GB2312" w:cs="仿宋_GB2312"/>
                <w:sz w:val="18"/>
                <w:szCs w:val="18"/>
                <w:highlight w:val="none"/>
                <w:lang w:val="en-US" w:eastAsia="zh-CN"/>
              </w:rPr>
              <w:t>2465.68</w:t>
            </w:r>
            <w:r>
              <w:rPr>
                <w:rFonts w:hint="eastAsia" w:ascii="仿宋_GB2312" w:hAnsi="仿宋_GB2312" w:eastAsia="仿宋_GB2312" w:cs="仿宋_GB2312"/>
                <w:sz w:val="18"/>
                <w:szCs w:val="18"/>
                <w:highlight w:val="none"/>
                <w:lang w:eastAsia="zh-CN"/>
              </w:rPr>
              <w:t>万元×100%=0%,依据评分标准，不扣分。</w:t>
            </w:r>
          </w:p>
        </w:tc>
        <w:tc>
          <w:tcPr>
            <w:tcW w:w="233" w:type="pct"/>
            <w:shd w:val="clear" w:color="auto" w:fill="auto"/>
            <w:vAlign w:val="center"/>
          </w:tcPr>
          <w:p w14:paraId="74C951F6">
            <w:pPr>
              <w:pStyle w:val="11"/>
              <w:jc w:val="center"/>
              <w:rPr>
                <w:rFonts w:hint="eastAsia" w:ascii="仿宋_GB2312" w:hAnsi="仿宋_GB2312" w:eastAsia="仿宋_GB2312" w:cs="仿宋_GB2312"/>
                <w:snapToGrid w:val="0"/>
                <w:color w:val="000000"/>
                <w:sz w:val="18"/>
                <w:szCs w:val="18"/>
                <w:highlight w:val="none"/>
                <w:lang w:val="en-US" w:eastAsia="zh-CN" w:bidi="ar-SA"/>
              </w:rPr>
            </w:pPr>
            <w:r>
              <w:rPr>
                <w:rFonts w:hint="eastAsia" w:ascii="仿宋_GB2312" w:hAnsi="仿宋_GB2312" w:eastAsia="仿宋_GB2312" w:cs="仿宋_GB2312"/>
                <w:sz w:val="18"/>
                <w:szCs w:val="18"/>
                <w:highlight w:val="none"/>
                <w:lang w:eastAsia="zh-CN"/>
              </w:rPr>
              <w:t>1</w:t>
            </w:r>
          </w:p>
        </w:tc>
      </w:tr>
      <w:tr w14:paraId="5A1E12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2" w:hRule="atLeast"/>
          <w:jc w:val="center"/>
        </w:trPr>
        <w:tc>
          <w:tcPr>
            <w:tcW w:w="254" w:type="pct"/>
            <w:vMerge w:val="continue"/>
            <w:vAlign w:val="center"/>
          </w:tcPr>
          <w:p w14:paraId="3B46402F">
            <w:pPr>
              <w:pStyle w:val="11"/>
              <w:jc w:val="center"/>
              <w:rPr>
                <w:rFonts w:hint="eastAsia" w:ascii="仿宋_GB2312" w:hAnsi="仿宋_GB2312" w:eastAsia="仿宋_GB2312" w:cs="仿宋_GB2312"/>
                <w:sz w:val="18"/>
                <w:szCs w:val="18"/>
                <w:highlight w:val="none"/>
              </w:rPr>
            </w:pPr>
          </w:p>
        </w:tc>
        <w:tc>
          <w:tcPr>
            <w:tcW w:w="297" w:type="pct"/>
            <w:vMerge w:val="continue"/>
            <w:vAlign w:val="center"/>
          </w:tcPr>
          <w:p w14:paraId="0672DADD">
            <w:pPr>
              <w:pStyle w:val="11"/>
              <w:jc w:val="center"/>
              <w:rPr>
                <w:rFonts w:hint="eastAsia" w:ascii="仿宋_GB2312" w:hAnsi="仿宋_GB2312" w:eastAsia="仿宋_GB2312" w:cs="仿宋_GB2312"/>
                <w:sz w:val="18"/>
                <w:szCs w:val="18"/>
                <w:highlight w:val="none"/>
              </w:rPr>
            </w:pPr>
          </w:p>
        </w:tc>
        <w:tc>
          <w:tcPr>
            <w:tcW w:w="284" w:type="pct"/>
            <w:shd w:val="clear" w:color="auto" w:fill="auto"/>
            <w:vAlign w:val="center"/>
          </w:tcPr>
          <w:p w14:paraId="71AEE5B3">
            <w:pPr>
              <w:pStyle w:val="11"/>
              <w:jc w:val="center"/>
              <w:rPr>
                <w:rFonts w:hint="eastAsia" w:ascii="仿宋_GB2312" w:hAnsi="仿宋_GB2312" w:eastAsia="仿宋_GB2312" w:cs="仿宋_GB2312"/>
                <w:sz w:val="18"/>
                <w:szCs w:val="18"/>
                <w:highlight w:val="none"/>
              </w:rPr>
            </w:pPr>
            <w:r>
              <w:rPr>
                <w:rFonts w:hint="eastAsia" w:ascii="仿宋_GB2312" w:hAnsi="仿宋_GB2312" w:eastAsia="仿宋_GB2312" w:cs="仿宋_GB2312"/>
                <w:sz w:val="18"/>
                <w:szCs w:val="18"/>
                <w:highlight w:val="none"/>
              </w:rPr>
              <w:t>B15</w:t>
            </w:r>
          </w:p>
          <w:p w14:paraId="2ED52123">
            <w:pPr>
              <w:pStyle w:val="11"/>
              <w:jc w:val="center"/>
              <w:rPr>
                <w:rFonts w:hint="eastAsia" w:ascii="仿宋_GB2312" w:hAnsi="仿宋_GB2312" w:eastAsia="仿宋_GB2312" w:cs="仿宋_GB2312"/>
                <w:snapToGrid w:val="0"/>
                <w:color w:val="000000"/>
                <w:sz w:val="18"/>
                <w:szCs w:val="18"/>
                <w:highlight w:val="none"/>
                <w:lang w:val="en-US" w:eastAsia="en-US" w:bidi="ar-SA"/>
              </w:rPr>
            </w:pPr>
            <w:r>
              <w:rPr>
                <w:rFonts w:hint="eastAsia" w:ascii="仿宋_GB2312" w:hAnsi="仿宋_GB2312" w:eastAsia="仿宋_GB2312" w:cs="仿宋_GB2312"/>
                <w:sz w:val="18"/>
                <w:szCs w:val="18"/>
                <w:highlight w:val="none"/>
              </w:rPr>
              <w:t>公用经费控制率</w:t>
            </w:r>
          </w:p>
        </w:tc>
        <w:tc>
          <w:tcPr>
            <w:tcW w:w="231" w:type="pct"/>
            <w:shd w:val="clear" w:color="auto" w:fill="auto"/>
            <w:vAlign w:val="center"/>
          </w:tcPr>
          <w:p w14:paraId="5078F2AB">
            <w:pPr>
              <w:pStyle w:val="11"/>
              <w:jc w:val="center"/>
              <w:rPr>
                <w:rFonts w:hint="eastAsia" w:ascii="仿宋_GB2312" w:hAnsi="仿宋_GB2312" w:eastAsia="仿宋_GB2312" w:cs="仿宋_GB2312"/>
                <w:snapToGrid w:val="0"/>
                <w:color w:val="000000"/>
                <w:sz w:val="18"/>
                <w:szCs w:val="18"/>
                <w:highlight w:val="none"/>
                <w:lang w:val="en-US" w:eastAsia="en-US" w:bidi="ar-SA"/>
              </w:rPr>
            </w:pPr>
            <w:r>
              <w:rPr>
                <w:rFonts w:hint="eastAsia" w:ascii="仿宋_GB2312" w:hAnsi="仿宋_GB2312" w:eastAsia="仿宋_GB2312" w:cs="仿宋_GB2312"/>
                <w:sz w:val="18"/>
                <w:szCs w:val="18"/>
                <w:highlight w:val="none"/>
              </w:rPr>
              <w:t>≤100%</w:t>
            </w:r>
          </w:p>
        </w:tc>
        <w:tc>
          <w:tcPr>
            <w:tcW w:w="151" w:type="pct"/>
            <w:shd w:val="clear" w:color="auto" w:fill="auto"/>
            <w:vAlign w:val="center"/>
          </w:tcPr>
          <w:p w14:paraId="2FC140B0">
            <w:pPr>
              <w:pStyle w:val="11"/>
              <w:jc w:val="center"/>
              <w:rPr>
                <w:rFonts w:hint="eastAsia" w:ascii="仿宋_GB2312" w:hAnsi="仿宋_GB2312" w:eastAsia="仿宋_GB2312" w:cs="仿宋_GB2312"/>
                <w:snapToGrid w:val="0"/>
                <w:color w:val="000000"/>
                <w:sz w:val="18"/>
                <w:szCs w:val="18"/>
                <w:highlight w:val="none"/>
                <w:lang w:val="en-US" w:eastAsia="en-US" w:bidi="ar-SA"/>
              </w:rPr>
            </w:pPr>
            <w:r>
              <w:rPr>
                <w:rFonts w:hint="eastAsia" w:ascii="仿宋_GB2312" w:hAnsi="仿宋_GB2312" w:eastAsia="仿宋_GB2312" w:cs="仿宋_GB2312"/>
                <w:sz w:val="18"/>
                <w:szCs w:val="18"/>
                <w:highlight w:val="none"/>
              </w:rPr>
              <w:t>1</w:t>
            </w:r>
          </w:p>
        </w:tc>
        <w:tc>
          <w:tcPr>
            <w:tcW w:w="698" w:type="pct"/>
            <w:shd w:val="clear" w:color="auto" w:fill="auto"/>
            <w:vAlign w:val="center"/>
          </w:tcPr>
          <w:p w14:paraId="6CB25305">
            <w:pPr>
              <w:pStyle w:val="11"/>
              <w:rPr>
                <w:rFonts w:hint="eastAsia" w:ascii="仿宋_GB2312" w:hAnsi="仿宋_GB2312" w:eastAsia="仿宋_GB2312" w:cs="仿宋_GB2312"/>
                <w:snapToGrid w:val="0"/>
                <w:color w:val="000000"/>
                <w:sz w:val="18"/>
                <w:szCs w:val="18"/>
                <w:highlight w:val="none"/>
                <w:lang w:val="en-US" w:eastAsia="zh-CN" w:bidi="ar-SA"/>
              </w:rPr>
            </w:pPr>
            <w:r>
              <w:rPr>
                <w:rFonts w:hint="eastAsia" w:ascii="仿宋_GB2312" w:hAnsi="仿宋_GB2312" w:eastAsia="仿宋_GB2312" w:cs="仿宋_GB2312"/>
                <w:sz w:val="18"/>
                <w:szCs w:val="18"/>
                <w:highlight w:val="none"/>
                <w:lang w:eastAsia="zh-CN"/>
              </w:rPr>
              <w:t>部门本年度实际支出的公用经费总额与预算安排的公用经费总额的比率，用以反映和考核部门对本年度公用经费的控制程度。</w:t>
            </w:r>
          </w:p>
        </w:tc>
        <w:tc>
          <w:tcPr>
            <w:tcW w:w="1608" w:type="pct"/>
            <w:shd w:val="clear" w:color="auto" w:fill="auto"/>
            <w:vAlign w:val="center"/>
          </w:tcPr>
          <w:p w14:paraId="2C26FF85">
            <w:pPr>
              <w:pStyle w:val="11"/>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公用经费控制率=(实际支出公用经费总额/预算安排公用经费总额)×100%。</w:t>
            </w:r>
          </w:p>
          <w:p w14:paraId="16B621E2">
            <w:pPr>
              <w:pStyle w:val="11"/>
              <w:rPr>
                <w:rFonts w:hint="eastAsia" w:ascii="仿宋_GB2312" w:hAnsi="仿宋_GB2312" w:eastAsia="仿宋_GB2312" w:cs="仿宋_GB2312"/>
                <w:snapToGrid w:val="0"/>
                <w:color w:val="000000"/>
                <w:sz w:val="18"/>
                <w:szCs w:val="18"/>
                <w:highlight w:val="none"/>
                <w:lang w:val="en-US" w:eastAsia="zh-CN" w:bidi="ar-SA"/>
              </w:rPr>
            </w:pPr>
            <w:r>
              <w:rPr>
                <w:rFonts w:hint="eastAsia" w:ascii="仿宋_GB2312" w:hAnsi="仿宋_GB2312" w:eastAsia="仿宋_GB2312" w:cs="仿宋_GB2312"/>
                <w:sz w:val="18"/>
                <w:szCs w:val="18"/>
                <w:highlight w:val="none"/>
                <w:lang w:eastAsia="zh-CN"/>
              </w:rPr>
              <w:t>评分规则：1.比率≤100%,得满分；2.比率&gt;100%,不得分。</w:t>
            </w:r>
          </w:p>
        </w:tc>
        <w:tc>
          <w:tcPr>
            <w:tcW w:w="1240" w:type="pct"/>
            <w:shd w:val="clear" w:color="auto" w:fill="auto"/>
            <w:vAlign w:val="center"/>
          </w:tcPr>
          <w:p w14:paraId="3C056FF8">
            <w:pPr>
              <w:pStyle w:val="11"/>
              <w:rPr>
                <w:rFonts w:hint="eastAsia" w:ascii="仿宋_GB2312" w:hAnsi="仿宋_GB2312" w:eastAsia="仿宋_GB2312" w:cs="仿宋_GB2312"/>
                <w:snapToGrid w:val="0"/>
                <w:color w:val="000000"/>
                <w:sz w:val="18"/>
                <w:szCs w:val="18"/>
                <w:highlight w:val="none"/>
                <w:lang w:val="en-US" w:eastAsia="zh-CN" w:bidi="ar-SA"/>
              </w:rPr>
            </w:pPr>
            <w:r>
              <w:rPr>
                <w:rFonts w:hint="eastAsia" w:ascii="仿宋_GB2312" w:hAnsi="仿宋_GB2312" w:eastAsia="仿宋_GB2312" w:cs="仿宋_GB2312"/>
                <w:sz w:val="18"/>
                <w:szCs w:val="18"/>
                <w:highlight w:val="none"/>
                <w:lang w:eastAsia="zh-CN"/>
              </w:rPr>
              <w:t>公用经费控制率=(实际支出公用经费总额</w:t>
            </w:r>
            <w:r>
              <w:rPr>
                <w:rFonts w:hint="eastAsia" w:ascii="仿宋_GB2312" w:hAnsi="仿宋_GB2312" w:eastAsia="仿宋_GB2312" w:cs="仿宋_GB2312"/>
                <w:sz w:val="18"/>
                <w:szCs w:val="18"/>
                <w:highlight w:val="none"/>
                <w:lang w:val="en-US" w:eastAsia="zh-CN"/>
              </w:rPr>
              <w:t>86.65</w:t>
            </w:r>
            <w:r>
              <w:rPr>
                <w:rFonts w:hint="eastAsia" w:ascii="仿宋_GB2312" w:hAnsi="仿宋_GB2312" w:eastAsia="仿宋_GB2312" w:cs="仿宋_GB2312"/>
                <w:sz w:val="18"/>
                <w:szCs w:val="18"/>
                <w:highlight w:val="none"/>
                <w:lang w:eastAsia="zh-CN"/>
              </w:rPr>
              <w:t>万元/预算安排公用经费总额</w:t>
            </w:r>
            <w:r>
              <w:rPr>
                <w:rFonts w:hint="eastAsia" w:ascii="仿宋_GB2312" w:hAnsi="仿宋_GB2312" w:eastAsia="仿宋_GB2312" w:cs="仿宋_GB2312"/>
                <w:sz w:val="18"/>
                <w:szCs w:val="18"/>
                <w:highlight w:val="none"/>
                <w:lang w:val="en-US" w:eastAsia="zh-CN"/>
              </w:rPr>
              <w:t>86.65</w:t>
            </w:r>
            <w:r>
              <w:rPr>
                <w:rFonts w:hint="eastAsia" w:ascii="仿宋_GB2312" w:hAnsi="仿宋_GB2312" w:eastAsia="仿宋_GB2312" w:cs="仿宋_GB2312"/>
                <w:sz w:val="18"/>
                <w:szCs w:val="18"/>
                <w:highlight w:val="none"/>
                <w:lang w:eastAsia="zh-CN"/>
              </w:rPr>
              <w:t>万元)×100%=100%。</w:t>
            </w:r>
          </w:p>
        </w:tc>
        <w:tc>
          <w:tcPr>
            <w:tcW w:w="233" w:type="pct"/>
            <w:shd w:val="clear" w:color="auto" w:fill="auto"/>
            <w:vAlign w:val="center"/>
          </w:tcPr>
          <w:p w14:paraId="2752F17C">
            <w:pPr>
              <w:pStyle w:val="11"/>
              <w:jc w:val="center"/>
              <w:rPr>
                <w:rFonts w:hint="eastAsia" w:ascii="仿宋_GB2312" w:hAnsi="仿宋_GB2312" w:eastAsia="仿宋_GB2312" w:cs="仿宋_GB2312"/>
                <w:snapToGrid w:val="0"/>
                <w:color w:val="000000"/>
                <w:sz w:val="18"/>
                <w:szCs w:val="18"/>
                <w:highlight w:val="none"/>
                <w:lang w:val="en-US" w:eastAsia="zh-CN" w:bidi="ar-SA"/>
              </w:rPr>
            </w:pPr>
            <w:r>
              <w:rPr>
                <w:rFonts w:hint="eastAsia" w:ascii="仿宋_GB2312" w:hAnsi="仿宋_GB2312" w:eastAsia="仿宋_GB2312" w:cs="仿宋_GB2312"/>
                <w:sz w:val="18"/>
                <w:szCs w:val="18"/>
                <w:highlight w:val="none"/>
              </w:rPr>
              <w:t>1</w:t>
            </w:r>
          </w:p>
        </w:tc>
      </w:tr>
      <w:tr w14:paraId="119336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7" w:hRule="atLeast"/>
          <w:jc w:val="center"/>
        </w:trPr>
        <w:tc>
          <w:tcPr>
            <w:tcW w:w="254" w:type="pct"/>
            <w:vMerge w:val="continue"/>
            <w:vAlign w:val="center"/>
          </w:tcPr>
          <w:p w14:paraId="611BD7B6">
            <w:pPr>
              <w:pStyle w:val="11"/>
              <w:jc w:val="center"/>
              <w:rPr>
                <w:rFonts w:hint="eastAsia" w:ascii="仿宋_GB2312" w:hAnsi="仿宋_GB2312" w:eastAsia="仿宋_GB2312" w:cs="仿宋_GB2312"/>
                <w:sz w:val="18"/>
                <w:szCs w:val="18"/>
                <w:highlight w:val="none"/>
              </w:rPr>
            </w:pPr>
          </w:p>
        </w:tc>
        <w:tc>
          <w:tcPr>
            <w:tcW w:w="297" w:type="pct"/>
            <w:vMerge w:val="continue"/>
            <w:vAlign w:val="center"/>
          </w:tcPr>
          <w:p w14:paraId="1EF454F2">
            <w:pPr>
              <w:pStyle w:val="11"/>
              <w:jc w:val="center"/>
              <w:rPr>
                <w:rFonts w:hint="eastAsia" w:ascii="仿宋_GB2312" w:hAnsi="仿宋_GB2312" w:eastAsia="仿宋_GB2312" w:cs="仿宋_GB2312"/>
                <w:sz w:val="18"/>
                <w:szCs w:val="18"/>
                <w:highlight w:val="none"/>
              </w:rPr>
            </w:pPr>
          </w:p>
        </w:tc>
        <w:tc>
          <w:tcPr>
            <w:tcW w:w="284" w:type="pct"/>
            <w:shd w:val="clear" w:color="auto" w:fill="auto"/>
            <w:vAlign w:val="center"/>
          </w:tcPr>
          <w:p w14:paraId="40E33562">
            <w:pPr>
              <w:pStyle w:val="11"/>
              <w:jc w:val="center"/>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B16</w:t>
            </w:r>
          </w:p>
          <w:p w14:paraId="77E1BA60">
            <w:pPr>
              <w:pStyle w:val="11"/>
              <w:jc w:val="center"/>
              <w:rPr>
                <w:rFonts w:hint="eastAsia" w:ascii="仿宋_GB2312" w:hAnsi="仿宋_GB2312" w:eastAsia="仿宋_GB2312" w:cs="仿宋_GB2312"/>
                <w:snapToGrid w:val="0"/>
                <w:color w:val="000000"/>
                <w:sz w:val="18"/>
                <w:szCs w:val="18"/>
                <w:highlight w:val="none"/>
                <w:lang w:val="en-US" w:eastAsia="zh-CN" w:bidi="ar-SA"/>
              </w:rPr>
            </w:pPr>
            <w:r>
              <w:rPr>
                <w:rFonts w:hint="eastAsia" w:ascii="仿宋_GB2312" w:hAnsi="仿宋_GB2312" w:eastAsia="仿宋_GB2312" w:cs="仿宋_GB2312"/>
                <w:sz w:val="18"/>
                <w:szCs w:val="18"/>
                <w:highlight w:val="none"/>
                <w:lang w:eastAsia="zh-CN"/>
              </w:rPr>
              <w:t>“三公经费”变动率</w:t>
            </w:r>
          </w:p>
        </w:tc>
        <w:tc>
          <w:tcPr>
            <w:tcW w:w="231" w:type="pct"/>
            <w:shd w:val="clear" w:color="auto" w:fill="auto"/>
            <w:vAlign w:val="center"/>
          </w:tcPr>
          <w:p w14:paraId="3672D1BC">
            <w:pPr>
              <w:pStyle w:val="11"/>
              <w:jc w:val="center"/>
              <w:rPr>
                <w:rFonts w:hint="eastAsia" w:ascii="仿宋_GB2312" w:hAnsi="仿宋_GB2312" w:eastAsia="仿宋_GB2312" w:cs="仿宋_GB2312"/>
                <w:snapToGrid w:val="0"/>
                <w:color w:val="000000"/>
                <w:sz w:val="18"/>
                <w:szCs w:val="18"/>
                <w:highlight w:val="none"/>
                <w:lang w:val="en-US" w:eastAsia="en-US" w:bidi="ar-SA"/>
              </w:rPr>
            </w:pPr>
            <w:r>
              <w:rPr>
                <w:rFonts w:hint="eastAsia" w:ascii="仿宋_GB2312" w:hAnsi="仿宋_GB2312" w:eastAsia="仿宋_GB2312" w:cs="仿宋_GB2312"/>
                <w:sz w:val="18"/>
                <w:szCs w:val="18"/>
                <w:highlight w:val="none"/>
              </w:rPr>
              <w:t>≤0%</w:t>
            </w:r>
          </w:p>
        </w:tc>
        <w:tc>
          <w:tcPr>
            <w:tcW w:w="151" w:type="pct"/>
            <w:shd w:val="clear" w:color="auto" w:fill="auto"/>
            <w:vAlign w:val="center"/>
          </w:tcPr>
          <w:p w14:paraId="673FC1E6">
            <w:pPr>
              <w:pStyle w:val="11"/>
              <w:jc w:val="center"/>
              <w:rPr>
                <w:rFonts w:hint="eastAsia" w:ascii="仿宋_GB2312" w:hAnsi="仿宋_GB2312" w:eastAsia="仿宋_GB2312" w:cs="仿宋_GB2312"/>
                <w:snapToGrid w:val="0"/>
                <w:color w:val="000000"/>
                <w:sz w:val="18"/>
                <w:szCs w:val="18"/>
                <w:highlight w:val="none"/>
                <w:lang w:val="en-US" w:eastAsia="en-US" w:bidi="ar-SA"/>
              </w:rPr>
            </w:pPr>
            <w:r>
              <w:rPr>
                <w:rFonts w:hint="eastAsia" w:ascii="仿宋_GB2312" w:hAnsi="仿宋_GB2312" w:eastAsia="仿宋_GB2312" w:cs="仿宋_GB2312"/>
                <w:sz w:val="18"/>
                <w:szCs w:val="18"/>
                <w:highlight w:val="none"/>
              </w:rPr>
              <w:t>1</w:t>
            </w:r>
          </w:p>
        </w:tc>
        <w:tc>
          <w:tcPr>
            <w:tcW w:w="698" w:type="pct"/>
            <w:shd w:val="clear" w:color="auto" w:fill="auto"/>
            <w:vAlign w:val="center"/>
          </w:tcPr>
          <w:p w14:paraId="74DA1C40">
            <w:pPr>
              <w:pStyle w:val="11"/>
              <w:rPr>
                <w:rFonts w:hint="eastAsia" w:ascii="仿宋_GB2312" w:hAnsi="仿宋_GB2312" w:eastAsia="仿宋_GB2312" w:cs="仿宋_GB2312"/>
                <w:snapToGrid w:val="0"/>
                <w:color w:val="000000"/>
                <w:sz w:val="18"/>
                <w:szCs w:val="18"/>
                <w:highlight w:val="none"/>
                <w:lang w:val="en-US" w:eastAsia="zh-CN" w:bidi="ar-SA"/>
              </w:rPr>
            </w:pPr>
            <w:r>
              <w:rPr>
                <w:rFonts w:hint="eastAsia" w:ascii="仿宋_GB2312" w:hAnsi="仿宋_GB2312" w:eastAsia="仿宋_GB2312" w:cs="仿宋_GB2312"/>
                <w:sz w:val="18"/>
                <w:szCs w:val="18"/>
                <w:highlight w:val="none"/>
                <w:lang w:eastAsia="zh-CN"/>
              </w:rPr>
              <w:t>部门本年度“三公经费”预算数与上年度“三公经费”预算数的变动比率，用以反映和考核部门对控制重点行政成本的努力程度。</w:t>
            </w:r>
          </w:p>
        </w:tc>
        <w:tc>
          <w:tcPr>
            <w:tcW w:w="1608" w:type="pct"/>
            <w:shd w:val="clear" w:color="auto" w:fill="auto"/>
            <w:vAlign w:val="center"/>
          </w:tcPr>
          <w:p w14:paraId="38E24EC9">
            <w:pPr>
              <w:pStyle w:val="11"/>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‘三公经费”变动率=[(本年度“三公经费”总额-上年度</w:t>
            </w:r>
          </w:p>
          <w:p w14:paraId="16DE3420">
            <w:pPr>
              <w:pStyle w:val="11"/>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“三公经费”总额)/上年度“三公经费”总额]×100%。</w:t>
            </w:r>
          </w:p>
          <w:p w14:paraId="0C31C83C">
            <w:pPr>
              <w:pStyle w:val="11"/>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“三公经费”:年度预算安排的因公出国(境)费、公务车辆购</w:t>
            </w:r>
          </w:p>
          <w:p w14:paraId="04C7F8A8">
            <w:pPr>
              <w:pStyle w:val="11"/>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置及运行费和公务招待费。</w:t>
            </w:r>
          </w:p>
          <w:p w14:paraId="265D5BB4">
            <w:pPr>
              <w:pStyle w:val="11"/>
              <w:rPr>
                <w:rFonts w:hint="eastAsia" w:ascii="仿宋_GB2312" w:hAnsi="仿宋_GB2312" w:eastAsia="仿宋_GB2312" w:cs="仿宋_GB2312"/>
                <w:snapToGrid w:val="0"/>
                <w:color w:val="000000"/>
                <w:sz w:val="18"/>
                <w:szCs w:val="18"/>
                <w:highlight w:val="none"/>
                <w:lang w:val="en-US" w:eastAsia="zh-CN" w:bidi="ar-SA"/>
              </w:rPr>
            </w:pPr>
            <w:r>
              <w:rPr>
                <w:rFonts w:hint="eastAsia" w:ascii="仿宋_GB2312" w:hAnsi="仿宋_GB2312" w:eastAsia="仿宋_GB2312" w:cs="仿宋_GB2312"/>
                <w:sz w:val="18"/>
                <w:szCs w:val="18"/>
                <w:highlight w:val="none"/>
                <w:lang w:eastAsia="zh-CN"/>
              </w:rPr>
              <w:t>评分规则：1.比率≤0%,得满分；2.比率&gt;0%,不得分。</w:t>
            </w:r>
          </w:p>
        </w:tc>
        <w:tc>
          <w:tcPr>
            <w:tcW w:w="1240" w:type="pct"/>
            <w:shd w:val="clear" w:color="auto" w:fill="auto"/>
            <w:vAlign w:val="center"/>
          </w:tcPr>
          <w:p w14:paraId="77E05837">
            <w:pPr>
              <w:pStyle w:val="11"/>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“三公经费”变动率=[(本年度“三公经费”总额</w:t>
            </w:r>
            <w:r>
              <w:rPr>
                <w:rFonts w:hint="eastAsia" w:ascii="仿宋_GB2312" w:hAnsi="仿宋_GB2312" w:eastAsia="仿宋_GB2312" w:cs="仿宋_GB2312"/>
                <w:sz w:val="18"/>
                <w:szCs w:val="18"/>
                <w:highlight w:val="none"/>
                <w:lang w:val="en-US" w:eastAsia="zh-CN"/>
              </w:rPr>
              <w:t>8.35</w:t>
            </w:r>
            <w:r>
              <w:rPr>
                <w:rFonts w:hint="eastAsia" w:ascii="仿宋_GB2312" w:hAnsi="仿宋_GB2312" w:eastAsia="仿宋_GB2312" w:cs="仿宋_GB2312"/>
                <w:sz w:val="18"/>
                <w:szCs w:val="18"/>
                <w:highlight w:val="none"/>
                <w:lang w:eastAsia="zh-CN"/>
              </w:rPr>
              <w:t>万元-上年度“三公经费”总额</w:t>
            </w:r>
            <w:r>
              <w:rPr>
                <w:rFonts w:hint="eastAsia" w:ascii="仿宋_GB2312" w:hAnsi="仿宋_GB2312" w:eastAsia="仿宋_GB2312" w:cs="仿宋_GB2312"/>
                <w:sz w:val="18"/>
                <w:szCs w:val="18"/>
                <w:highlight w:val="none"/>
                <w:lang w:val="en-US" w:eastAsia="zh-CN"/>
              </w:rPr>
              <w:t>9.86</w:t>
            </w:r>
            <w:r>
              <w:rPr>
                <w:rFonts w:hint="eastAsia" w:ascii="仿宋_GB2312" w:hAnsi="仿宋_GB2312" w:eastAsia="仿宋_GB2312" w:cs="仿宋_GB2312"/>
                <w:sz w:val="18"/>
                <w:szCs w:val="18"/>
                <w:highlight w:val="none"/>
                <w:lang w:eastAsia="zh-CN"/>
              </w:rPr>
              <w:t>万元)/上年度“三公经费”总额</w:t>
            </w:r>
            <w:r>
              <w:rPr>
                <w:rFonts w:hint="eastAsia" w:ascii="仿宋_GB2312" w:hAnsi="仿宋_GB2312" w:eastAsia="仿宋_GB2312" w:cs="仿宋_GB2312"/>
                <w:sz w:val="18"/>
                <w:szCs w:val="18"/>
                <w:highlight w:val="none"/>
                <w:lang w:val="en-US" w:eastAsia="zh-CN"/>
              </w:rPr>
              <w:t>9.86</w:t>
            </w:r>
            <w:r>
              <w:rPr>
                <w:rFonts w:hint="eastAsia" w:ascii="仿宋_GB2312" w:hAnsi="仿宋_GB2312" w:eastAsia="仿宋_GB2312" w:cs="仿宋_GB2312"/>
                <w:sz w:val="18"/>
                <w:szCs w:val="18"/>
                <w:highlight w:val="none"/>
                <w:lang w:eastAsia="zh-CN"/>
              </w:rPr>
              <w:t>万元]×100%=</w:t>
            </w:r>
            <w:r>
              <w:rPr>
                <w:rFonts w:hint="eastAsia" w:ascii="仿宋_GB2312" w:hAnsi="仿宋_GB2312" w:eastAsia="仿宋_GB2312" w:cs="仿宋_GB2312"/>
                <w:sz w:val="18"/>
                <w:szCs w:val="18"/>
                <w:highlight w:val="none"/>
                <w:lang w:val="en-US" w:eastAsia="zh-CN"/>
              </w:rPr>
              <w:t>-15.31</w:t>
            </w:r>
            <w:r>
              <w:rPr>
                <w:rFonts w:hint="eastAsia" w:ascii="仿宋_GB2312" w:hAnsi="仿宋_GB2312" w:eastAsia="仿宋_GB2312" w:cs="仿宋_GB2312"/>
                <w:sz w:val="18"/>
                <w:szCs w:val="18"/>
                <w:highlight w:val="none"/>
                <w:lang w:eastAsia="zh-CN"/>
              </w:rPr>
              <w:t>%。</w:t>
            </w:r>
          </w:p>
          <w:p w14:paraId="3FC30996">
            <w:pPr>
              <w:pStyle w:val="11"/>
              <w:rPr>
                <w:rFonts w:hint="default" w:ascii="仿宋_GB2312" w:hAnsi="仿宋_GB2312" w:eastAsia="仿宋_GB2312" w:cs="仿宋_GB2312"/>
                <w:sz w:val="18"/>
                <w:szCs w:val="18"/>
                <w:highlight w:val="none"/>
                <w:lang w:val="en-US" w:eastAsia="zh-CN"/>
              </w:rPr>
            </w:pPr>
            <w:r>
              <w:rPr>
                <w:rFonts w:hint="eastAsia" w:ascii="仿宋_GB2312" w:hAnsi="仿宋_GB2312" w:eastAsia="仿宋_GB2312" w:cs="仿宋_GB2312"/>
                <w:sz w:val="18"/>
                <w:szCs w:val="18"/>
                <w:highlight w:val="none"/>
                <w:lang w:eastAsia="zh-CN"/>
              </w:rPr>
              <w:t>依据评分标准，不扣分。</w:t>
            </w:r>
          </w:p>
        </w:tc>
        <w:tc>
          <w:tcPr>
            <w:tcW w:w="233" w:type="pct"/>
            <w:shd w:val="clear" w:color="auto" w:fill="auto"/>
            <w:vAlign w:val="center"/>
          </w:tcPr>
          <w:p w14:paraId="4173C154">
            <w:pPr>
              <w:pStyle w:val="11"/>
              <w:jc w:val="center"/>
              <w:rPr>
                <w:rFonts w:hint="default" w:ascii="仿宋_GB2312" w:hAnsi="仿宋_GB2312" w:eastAsia="仿宋_GB2312" w:cs="仿宋_GB2312"/>
                <w:snapToGrid w:val="0"/>
                <w:color w:val="000000"/>
                <w:sz w:val="18"/>
                <w:szCs w:val="18"/>
                <w:highlight w:val="none"/>
                <w:lang w:val="en-US" w:eastAsia="zh-CN" w:bidi="ar-SA"/>
              </w:rPr>
            </w:pPr>
            <w:r>
              <w:rPr>
                <w:rFonts w:hint="eastAsia" w:ascii="仿宋_GB2312" w:hAnsi="仿宋_GB2312" w:eastAsia="仿宋_GB2312" w:cs="仿宋_GB2312"/>
                <w:sz w:val="18"/>
                <w:szCs w:val="18"/>
                <w:highlight w:val="none"/>
                <w:lang w:val="en-US" w:eastAsia="zh-CN"/>
              </w:rPr>
              <w:t>1</w:t>
            </w:r>
          </w:p>
        </w:tc>
      </w:tr>
      <w:tr w14:paraId="6CFE63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67" w:hRule="atLeast"/>
          <w:jc w:val="center"/>
        </w:trPr>
        <w:tc>
          <w:tcPr>
            <w:tcW w:w="254" w:type="pct"/>
            <w:vMerge w:val="continue"/>
            <w:vAlign w:val="center"/>
          </w:tcPr>
          <w:p w14:paraId="18AA7804">
            <w:pPr>
              <w:pStyle w:val="11"/>
              <w:jc w:val="center"/>
              <w:rPr>
                <w:rFonts w:hint="eastAsia" w:ascii="仿宋_GB2312" w:hAnsi="仿宋_GB2312" w:eastAsia="仿宋_GB2312" w:cs="仿宋_GB2312"/>
                <w:sz w:val="18"/>
                <w:szCs w:val="18"/>
                <w:highlight w:val="none"/>
              </w:rPr>
            </w:pPr>
          </w:p>
        </w:tc>
        <w:tc>
          <w:tcPr>
            <w:tcW w:w="297" w:type="pct"/>
            <w:vMerge w:val="continue"/>
            <w:vAlign w:val="center"/>
          </w:tcPr>
          <w:p w14:paraId="173C3834">
            <w:pPr>
              <w:pStyle w:val="11"/>
              <w:jc w:val="center"/>
              <w:rPr>
                <w:rFonts w:hint="eastAsia" w:ascii="仿宋_GB2312" w:hAnsi="仿宋_GB2312" w:eastAsia="仿宋_GB2312" w:cs="仿宋_GB2312"/>
                <w:sz w:val="18"/>
                <w:szCs w:val="18"/>
                <w:highlight w:val="none"/>
              </w:rPr>
            </w:pPr>
          </w:p>
        </w:tc>
        <w:tc>
          <w:tcPr>
            <w:tcW w:w="284" w:type="pct"/>
            <w:shd w:val="clear" w:color="auto" w:fill="auto"/>
            <w:vAlign w:val="center"/>
          </w:tcPr>
          <w:p w14:paraId="616F941D">
            <w:pPr>
              <w:pStyle w:val="11"/>
              <w:jc w:val="center"/>
              <w:rPr>
                <w:rFonts w:hint="eastAsia" w:ascii="仿宋_GB2312" w:hAnsi="仿宋_GB2312" w:eastAsia="仿宋_GB2312" w:cs="仿宋_GB2312"/>
                <w:sz w:val="18"/>
                <w:szCs w:val="18"/>
                <w:highlight w:val="none"/>
              </w:rPr>
            </w:pPr>
            <w:r>
              <w:rPr>
                <w:rFonts w:hint="eastAsia" w:ascii="仿宋_GB2312" w:hAnsi="仿宋_GB2312" w:eastAsia="仿宋_GB2312" w:cs="仿宋_GB2312"/>
                <w:sz w:val="18"/>
                <w:szCs w:val="18"/>
                <w:highlight w:val="none"/>
              </w:rPr>
              <w:t>B17</w:t>
            </w:r>
          </w:p>
          <w:p w14:paraId="62358959">
            <w:pPr>
              <w:pStyle w:val="11"/>
              <w:jc w:val="center"/>
              <w:rPr>
                <w:rFonts w:hint="eastAsia" w:ascii="仿宋_GB2312" w:hAnsi="仿宋_GB2312" w:eastAsia="仿宋_GB2312" w:cs="仿宋_GB2312"/>
                <w:snapToGrid w:val="0"/>
                <w:color w:val="000000"/>
                <w:sz w:val="18"/>
                <w:szCs w:val="18"/>
                <w:highlight w:val="none"/>
                <w:lang w:val="en-US" w:eastAsia="en-US" w:bidi="ar-SA"/>
              </w:rPr>
            </w:pPr>
            <w:r>
              <w:rPr>
                <w:rFonts w:hint="eastAsia" w:ascii="仿宋_GB2312" w:hAnsi="仿宋_GB2312" w:eastAsia="仿宋_GB2312" w:cs="仿宋_GB2312"/>
                <w:sz w:val="18"/>
                <w:szCs w:val="18"/>
                <w:highlight w:val="none"/>
              </w:rPr>
              <w:t>政府采购执行率</w:t>
            </w:r>
          </w:p>
        </w:tc>
        <w:tc>
          <w:tcPr>
            <w:tcW w:w="231" w:type="pct"/>
            <w:shd w:val="clear" w:color="auto" w:fill="auto"/>
            <w:vAlign w:val="center"/>
          </w:tcPr>
          <w:p w14:paraId="034DC715">
            <w:pPr>
              <w:pStyle w:val="11"/>
              <w:jc w:val="center"/>
              <w:rPr>
                <w:rFonts w:hint="eastAsia" w:ascii="仿宋_GB2312" w:hAnsi="仿宋_GB2312" w:eastAsia="仿宋_GB2312" w:cs="仿宋_GB2312"/>
                <w:sz w:val="18"/>
                <w:szCs w:val="18"/>
                <w:highlight w:val="none"/>
              </w:rPr>
            </w:pPr>
            <w:r>
              <w:rPr>
                <w:rFonts w:hint="eastAsia" w:ascii="仿宋_GB2312" w:hAnsi="仿宋_GB2312" w:eastAsia="仿宋_GB2312" w:cs="仿宋_GB2312"/>
                <w:sz w:val="18"/>
                <w:szCs w:val="18"/>
                <w:highlight w:val="none"/>
              </w:rPr>
              <w:t>90%-</w:t>
            </w:r>
          </w:p>
          <w:p w14:paraId="6CC85042">
            <w:pPr>
              <w:pStyle w:val="11"/>
              <w:jc w:val="center"/>
              <w:rPr>
                <w:rFonts w:hint="eastAsia" w:ascii="仿宋_GB2312" w:hAnsi="仿宋_GB2312" w:eastAsia="仿宋_GB2312" w:cs="仿宋_GB2312"/>
                <w:snapToGrid w:val="0"/>
                <w:color w:val="000000"/>
                <w:sz w:val="18"/>
                <w:szCs w:val="18"/>
                <w:highlight w:val="none"/>
                <w:lang w:val="en-US" w:eastAsia="en-US" w:bidi="ar-SA"/>
              </w:rPr>
            </w:pPr>
            <w:r>
              <w:rPr>
                <w:rFonts w:hint="eastAsia" w:ascii="仿宋_GB2312" w:hAnsi="仿宋_GB2312" w:eastAsia="仿宋_GB2312" w:cs="仿宋_GB2312"/>
                <w:sz w:val="18"/>
                <w:szCs w:val="18"/>
                <w:highlight w:val="none"/>
                <w:lang w:eastAsia="zh-CN"/>
              </w:rPr>
              <w:t>1</w:t>
            </w:r>
            <w:r>
              <w:rPr>
                <w:rFonts w:hint="eastAsia" w:ascii="仿宋_GB2312" w:hAnsi="仿宋_GB2312" w:eastAsia="仿宋_GB2312" w:cs="仿宋_GB2312"/>
                <w:sz w:val="18"/>
                <w:szCs w:val="18"/>
                <w:highlight w:val="none"/>
              </w:rPr>
              <w:t>00%</w:t>
            </w:r>
          </w:p>
        </w:tc>
        <w:tc>
          <w:tcPr>
            <w:tcW w:w="151" w:type="pct"/>
            <w:shd w:val="clear" w:color="auto" w:fill="auto"/>
            <w:vAlign w:val="center"/>
          </w:tcPr>
          <w:p w14:paraId="6DB1DB5B">
            <w:pPr>
              <w:pStyle w:val="11"/>
              <w:jc w:val="center"/>
              <w:rPr>
                <w:rFonts w:hint="eastAsia" w:ascii="仿宋_GB2312" w:hAnsi="仿宋_GB2312" w:eastAsia="仿宋_GB2312" w:cs="仿宋_GB2312"/>
                <w:snapToGrid w:val="0"/>
                <w:color w:val="000000"/>
                <w:sz w:val="18"/>
                <w:szCs w:val="18"/>
                <w:highlight w:val="none"/>
                <w:lang w:val="en-US" w:eastAsia="en-US" w:bidi="ar-SA"/>
              </w:rPr>
            </w:pPr>
            <w:r>
              <w:rPr>
                <w:rFonts w:hint="eastAsia" w:ascii="仿宋_GB2312" w:hAnsi="仿宋_GB2312" w:eastAsia="仿宋_GB2312" w:cs="仿宋_GB2312"/>
                <w:sz w:val="18"/>
                <w:szCs w:val="18"/>
                <w:highlight w:val="none"/>
              </w:rPr>
              <w:t>1</w:t>
            </w:r>
          </w:p>
        </w:tc>
        <w:tc>
          <w:tcPr>
            <w:tcW w:w="698" w:type="pct"/>
            <w:shd w:val="clear" w:color="auto" w:fill="auto"/>
            <w:vAlign w:val="center"/>
          </w:tcPr>
          <w:p w14:paraId="6450CE0A">
            <w:pPr>
              <w:pStyle w:val="11"/>
              <w:rPr>
                <w:rFonts w:hint="eastAsia" w:ascii="仿宋_GB2312" w:hAnsi="仿宋_GB2312" w:eastAsia="仿宋_GB2312" w:cs="仿宋_GB2312"/>
                <w:snapToGrid w:val="0"/>
                <w:color w:val="000000"/>
                <w:sz w:val="18"/>
                <w:szCs w:val="18"/>
                <w:highlight w:val="none"/>
                <w:lang w:val="en-US" w:eastAsia="zh-CN" w:bidi="ar-SA"/>
              </w:rPr>
            </w:pPr>
            <w:r>
              <w:rPr>
                <w:rFonts w:hint="eastAsia" w:ascii="仿宋_GB2312" w:hAnsi="仿宋_GB2312" w:eastAsia="仿宋_GB2312" w:cs="仿宋_GB2312"/>
                <w:sz w:val="18"/>
                <w:szCs w:val="18"/>
                <w:highlight w:val="none"/>
                <w:lang w:eastAsia="zh-CN"/>
              </w:rPr>
              <w:t>部门本年度实际政府采购金额与年初政府采购预算的比率，用以反映和考核部门政府采购预算执行情况。</w:t>
            </w:r>
          </w:p>
        </w:tc>
        <w:tc>
          <w:tcPr>
            <w:tcW w:w="1608" w:type="pct"/>
            <w:shd w:val="clear" w:color="auto" w:fill="auto"/>
            <w:vAlign w:val="center"/>
          </w:tcPr>
          <w:p w14:paraId="5C3C136C">
            <w:pPr>
              <w:pStyle w:val="11"/>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政府采购执行率=(实际政府采购金额/政府采购预算数)x100%;政府采购预算：采购单位根据事业发展计划和行政任务编制的、并经过规定程序批准的年度政府采购计划。</w:t>
            </w:r>
          </w:p>
          <w:p w14:paraId="692A76B4">
            <w:pPr>
              <w:pStyle w:val="11"/>
              <w:rPr>
                <w:rFonts w:hint="eastAsia" w:ascii="仿宋_GB2312" w:hAnsi="仿宋_GB2312" w:eastAsia="仿宋_GB2312" w:cs="仿宋_GB2312"/>
                <w:snapToGrid w:val="0"/>
                <w:color w:val="000000"/>
                <w:sz w:val="18"/>
                <w:szCs w:val="18"/>
                <w:highlight w:val="none"/>
                <w:lang w:val="en-US" w:eastAsia="zh-CN" w:bidi="ar-SA"/>
              </w:rPr>
            </w:pPr>
            <w:r>
              <w:rPr>
                <w:rFonts w:hint="eastAsia" w:ascii="仿宋_GB2312" w:hAnsi="仿宋_GB2312" w:eastAsia="仿宋_GB2312" w:cs="仿宋_GB2312"/>
                <w:sz w:val="18"/>
                <w:szCs w:val="18"/>
                <w:highlight w:val="none"/>
                <w:lang w:eastAsia="zh-CN"/>
              </w:rPr>
              <w:t>评分规则：政府采购执行率在100%(含)-90%(含)之间得满分，否则每增加或减少1%,扣2%的权重分，扣完为止。根据要求压减预算不扣分。</w:t>
            </w:r>
          </w:p>
        </w:tc>
        <w:tc>
          <w:tcPr>
            <w:tcW w:w="1240" w:type="pct"/>
            <w:shd w:val="clear" w:color="auto" w:fill="auto"/>
            <w:vAlign w:val="center"/>
          </w:tcPr>
          <w:p w14:paraId="12BBBDBE">
            <w:pPr>
              <w:pStyle w:val="11"/>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政府采购执行率=(实际政府采购金额</w:t>
            </w:r>
            <w:r>
              <w:rPr>
                <w:rFonts w:hint="eastAsia" w:ascii="仿宋_GB2312" w:hAnsi="仿宋_GB2312" w:eastAsia="仿宋_GB2312" w:cs="仿宋_GB2312"/>
                <w:sz w:val="18"/>
                <w:szCs w:val="18"/>
                <w:highlight w:val="none"/>
                <w:lang w:val="en-US" w:eastAsia="zh-CN"/>
              </w:rPr>
              <w:t>17.23</w:t>
            </w:r>
            <w:r>
              <w:rPr>
                <w:rFonts w:hint="eastAsia" w:ascii="仿宋_GB2312" w:hAnsi="仿宋_GB2312" w:eastAsia="仿宋_GB2312" w:cs="仿宋_GB2312"/>
                <w:sz w:val="18"/>
                <w:szCs w:val="18"/>
                <w:highlight w:val="none"/>
                <w:lang w:eastAsia="zh-CN"/>
              </w:rPr>
              <w:t>万元/政府采购预算数</w:t>
            </w:r>
            <w:r>
              <w:rPr>
                <w:rFonts w:hint="eastAsia" w:ascii="仿宋_GB2312" w:hAnsi="仿宋_GB2312" w:eastAsia="仿宋_GB2312" w:cs="仿宋_GB2312"/>
                <w:sz w:val="18"/>
                <w:szCs w:val="18"/>
                <w:highlight w:val="none"/>
                <w:lang w:val="en-US" w:eastAsia="zh-CN"/>
              </w:rPr>
              <w:t>24.39</w:t>
            </w:r>
            <w:r>
              <w:rPr>
                <w:rFonts w:hint="eastAsia" w:ascii="仿宋_GB2312" w:hAnsi="仿宋_GB2312" w:eastAsia="仿宋_GB2312" w:cs="仿宋_GB2312"/>
                <w:sz w:val="18"/>
                <w:szCs w:val="18"/>
                <w:highlight w:val="none"/>
                <w:lang w:eastAsia="zh-CN"/>
              </w:rPr>
              <w:t>万元)×100%=</w:t>
            </w:r>
            <w:r>
              <w:rPr>
                <w:rFonts w:hint="eastAsia" w:ascii="仿宋_GB2312" w:hAnsi="仿宋_GB2312" w:eastAsia="仿宋_GB2312" w:cs="仿宋_GB2312"/>
                <w:sz w:val="18"/>
                <w:szCs w:val="18"/>
                <w:highlight w:val="none"/>
                <w:lang w:val="en-US" w:eastAsia="zh-CN"/>
              </w:rPr>
              <w:t>70.64</w:t>
            </w:r>
            <w:r>
              <w:rPr>
                <w:rFonts w:hint="eastAsia" w:ascii="仿宋_GB2312" w:hAnsi="仿宋_GB2312" w:eastAsia="仿宋_GB2312" w:cs="仿宋_GB2312"/>
                <w:sz w:val="18"/>
                <w:szCs w:val="18"/>
                <w:highlight w:val="none"/>
                <w:lang w:eastAsia="zh-CN"/>
              </w:rPr>
              <w:t>%。</w:t>
            </w:r>
          </w:p>
          <w:p w14:paraId="652EDEDE">
            <w:pPr>
              <w:pStyle w:val="11"/>
              <w:rPr>
                <w:rFonts w:hint="eastAsia" w:ascii="仿宋_GB2312" w:hAnsi="仿宋_GB2312" w:eastAsia="仿宋_GB2312" w:cs="仿宋_GB2312"/>
                <w:snapToGrid w:val="0"/>
                <w:color w:val="000000"/>
                <w:sz w:val="18"/>
                <w:szCs w:val="18"/>
                <w:highlight w:val="none"/>
                <w:lang w:val="en-US" w:eastAsia="zh-CN" w:bidi="ar-SA"/>
              </w:rPr>
            </w:pPr>
            <w:r>
              <w:rPr>
                <w:rFonts w:hint="eastAsia" w:ascii="仿宋_GB2312" w:hAnsi="仿宋_GB2312" w:eastAsia="仿宋_GB2312" w:cs="仿宋_GB2312"/>
                <w:sz w:val="18"/>
                <w:szCs w:val="18"/>
                <w:highlight w:val="none"/>
                <w:lang w:eastAsia="zh-CN"/>
              </w:rPr>
              <w:t>扣分说明：依据评分标准，执行率</w:t>
            </w:r>
            <w:r>
              <w:rPr>
                <w:rFonts w:hint="eastAsia" w:ascii="仿宋_GB2312" w:hAnsi="仿宋_GB2312" w:eastAsia="仿宋_GB2312" w:cs="仿宋_GB2312"/>
                <w:sz w:val="18"/>
                <w:szCs w:val="18"/>
                <w:highlight w:val="none"/>
                <w:lang w:val="en-US" w:eastAsia="zh-CN"/>
              </w:rPr>
              <w:t>(90%-70.64%)/1%*2%=0.38,扣0.38分</w:t>
            </w:r>
            <w:r>
              <w:rPr>
                <w:rFonts w:hint="eastAsia" w:ascii="仿宋_GB2312" w:hAnsi="仿宋_GB2312" w:eastAsia="仿宋_GB2312" w:cs="仿宋_GB2312"/>
                <w:sz w:val="18"/>
                <w:szCs w:val="18"/>
                <w:highlight w:val="none"/>
                <w:lang w:eastAsia="zh-CN"/>
              </w:rPr>
              <w:t>。</w:t>
            </w:r>
          </w:p>
        </w:tc>
        <w:tc>
          <w:tcPr>
            <w:tcW w:w="233" w:type="pct"/>
            <w:shd w:val="clear" w:color="auto" w:fill="auto"/>
            <w:vAlign w:val="center"/>
          </w:tcPr>
          <w:p w14:paraId="37E912E8">
            <w:pPr>
              <w:pStyle w:val="11"/>
              <w:jc w:val="center"/>
              <w:rPr>
                <w:rFonts w:hint="default" w:ascii="仿宋_GB2312" w:hAnsi="仿宋_GB2312" w:eastAsia="仿宋_GB2312" w:cs="仿宋_GB2312"/>
                <w:snapToGrid w:val="0"/>
                <w:color w:val="000000"/>
                <w:sz w:val="18"/>
                <w:szCs w:val="18"/>
                <w:highlight w:val="none"/>
                <w:lang w:val="en-US" w:eastAsia="zh-CN" w:bidi="ar-SA"/>
              </w:rPr>
            </w:pPr>
            <w:r>
              <w:rPr>
                <w:rFonts w:hint="eastAsia" w:ascii="仿宋_GB2312" w:hAnsi="仿宋_GB2312" w:eastAsia="仿宋_GB2312" w:cs="仿宋_GB2312"/>
                <w:sz w:val="18"/>
                <w:szCs w:val="18"/>
                <w:highlight w:val="none"/>
                <w:lang w:val="en-US" w:eastAsia="zh-CN"/>
              </w:rPr>
              <w:t>0.62</w:t>
            </w:r>
          </w:p>
        </w:tc>
      </w:tr>
      <w:tr w14:paraId="015DDC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97" w:hRule="atLeast"/>
          <w:jc w:val="center"/>
        </w:trPr>
        <w:tc>
          <w:tcPr>
            <w:tcW w:w="254" w:type="pct"/>
            <w:vMerge w:val="continue"/>
            <w:vAlign w:val="center"/>
          </w:tcPr>
          <w:p w14:paraId="6469CBDD">
            <w:pPr>
              <w:pStyle w:val="11"/>
              <w:jc w:val="center"/>
              <w:rPr>
                <w:rFonts w:hint="eastAsia" w:ascii="仿宋_GB2312" w:hAnsi="仿宋_GB2312" w:eastAsia="仿宋_GB2312" w:cs="仿宋_GB2312"/>
                <w:sz w:val="18"/>
                <w:szCs w:val="18"/>
                <w:highlight w:val="none"/>
              </w:rPr>
            </w:pPr>
          </w:p>
        </w:tc>
        <w:tc>
          <w:tcPr>
            <w:tcW w:w="297" w:type="pct"/>
            <w:vMerge w:val="continue"/>
            <w:tcBorders>
              <w:bottom w:val="single" w:color="auto" w:sz="4" w:space="0"/>
            </w:tcBorders>
            <w:vAlign w:val="center"/>
          </w:tcPr>
          <w:p w14:paraId="08B883AA">
            <w:pPr>
              <w:pStyle w:val="11"/>
              <w:jc w:val="center"/>
              <w:rPr>
                <w:rFonts w:hint="eastAsia" w:ascii="仿宋_GB2312" w:hAnsi="仿宋_GB2312" w:eastAsia="仿宋_GB2312" w:cs="仿宋_GB2312"/>
                <w:sz w:val="18"/>
                <w:szCs w:val="18"/>
                <w:highlight w:val="none"/>
              </w:rPr>
            </w:pPr>
          </w:p>
        </w:tc>
        <w:tc>
          <w:tcPr>
            <w:tcW w:w="284" w:type="pct"/>
            <w:shd w:val="clear" w:color="auto" w:fill="auto"/>
            <w:vAlign w:val="center"/>
          </w:tcPr>
          <w:p w14:paraId="56E26A33">
            <w:pPr>
              <w:pStyle w:val="11"/>
              <w:jc w:val="center"/>
              <w:rPr>
                <w:rFonts w:hint="eastAsia" w:ascii="仿宋_GB2312" w:hAnsi="仿宋_GB2312" w:eastAsia="仿宋_GB2312" w:cs="仿宋_GB2312"/>
                <w:sz w:val="18"/>
                <w:szCs w:val="18"/>
                <w:highlight w:val="none"/>
              </w:rPr>
            </w:pPr>
            <w:r>
              <w:rPr>
                <w:rFonts w:hint="eastAsia" w:ascii="仿宋_GB2312" w:hAnsi="仿宋_GB2312" w:eastAsia="仿宋_GB2312" w:cs="仿宋_GB2312"/>
                <w:sz w:val="18"/>
                <w:szCs w:val="18"/>
                <w:highlight w:val="none"/>
              </w:rPr>
              <w:t>B18</w:t>
            </w:r>
          </w:p>
          <w:p w14:paraId="36D4E38E">
            <w:pPr>
              <w:pStyle w:val="11"/>
              <w:jc w:val="center"/>
              <w:rPr>
                <w:rFonts w:hint="eastAsia" w:ascii="仿宋_GB2312" w:hAnsi="仿宋_GB2312" w:eastAsia="仿宋_GB2312" w:cs="仿宋_GB2312"/>
                <w:snapToGrid w:val="0"/>
                <w:color w:val="000000"/>
                <w:sz w:val="18"/>
                <w:szCs w:val="18"/>
                <w:highlight w:val="none"/>
                <w:lang w:val="en-US" w:eastAsia="en-US" w:bidi="ar-SA"/>
              </w:rPr>
            </w:pPr>
            <w:r>
              <w:rPr>
                <w:rFonts w:hint="eastAsia" w:ascii="仿宋_GB2312" w:hAnsi="仿宋_GB2312" w:eastAsia="仿宋_GB2312" w:cs="仿宋_GB2312"/>
                <w:sz w:val="18"/>
                <w:szCs w:val="18"/>
                <w:highlight w:val="none"/>
              </w:rPr>
              <w:t>非税收入完成率</w:t>
            </w:r>
          </w:p>
        </w:tc>
        <w:tc>
          <w:tcPr>
            <w:tcW w:w="231" w:type="pct"/>
            <w:shd w:val="clear" w:color="auto" w:fill="auto"/>
            <w:vAlign w:val="center"/>
          </w:tcPr>
          <w:p w14:paraId="173D8154">
            <w:pPr>
              <w:pStyle w:val="11"/>
              <w:jc w:val="center"/>
              <w:rPr>
                <w:rFonts w:hint="eastAsia" w:ascii="仿宋_GB2312" w:hAnsi="仿宋_GB2312" w:eastAsia="仿宋_GB2312" w:cs="仿宋_GB2312"/>
                <w:snapToGrid w:val="0"/>
                <w:color w:val="000000"/>
                <w:sz w:val="18"/>
                <w:szCs w:val="18"/>
                <w:highlight w:val="none"/>
                <w:lang w:val="en-US" w:eastAsia="en-US" w:bidi="ar-SA"/>
              </w:rPr>
            </w:pPr>
            <w:r>
              <w:rPr>
                <w:rFonts w:hint="eastAsia" w:ascii="仿宋_GB2312" w:hAnsi="仿宋_GB2312" w:eastAsia="仿宋_GB2312" w:cs="仿宋_GB2312"/>
                <w:sz w:val="18"/>
                <w:szCs w:val="18"/>
                <w:highlight w:val="none"/>
              </w:rPr>
              <w:t>≥100%</w:t>
            </w:r>
          </w:p>
        </w:tc>
        <w:tc>
          <w:tcPr>
            <w:tcW w:w="151" w:type="pct"/>
            <w:shd w:val="clear" w:color="auto" w:fill="auto"/>
            <w:vAlign w:val="center"/>
          </w:tcPr>
          <w:p w14:paraId="212CCD86">
            <w:pPr>
              <w:pStyle w:val="11"/>
              <w:jc w:val="center"/>
              <w:rPr>
                <w:rFonts w:hint="eastAsia" w:ascii="仿宋_GB2312" w:hAnsi="仿宋_GB2312" w:eastAsia="仿宋_GB2312" w:cs="仿宋_GB2312"/>
                <w:snapToGrid w:val="0"/>
                <w:color w:val="000000"/>
                <w:sz w:val="18"/>
                <w:szCs w:val="18"/>
                <w:highlight w:val="none"/>
                <w:lang w:val="en-US" w:eastAsia="en-US" w:bidi="ar-SA"/>
              </w:rPr>
            </w:pPr>
            <w:r>
              <w:rPr>
                <w:rFonts w:hint="eastAsia" w:ascii="仿宋_GB2312" w:hAnsi="仿宋_GB2312" w:eastAsia="仿宋_GB2312" w:cs="仿宋_GB2312"/>
                <w:sz w:val="18"/>
                <w:szCs w:val="18"/>
                <w:highlight w:val="none"/>
              </w:rPr>
              <w:t>1</w:t>
            </w:r>
          </w:p>
        </w:tc>
        <w:tc>
          <w:tcPr>
            <w:tcW w:w="698" w:type="pct"/>
            <w:shd w:val="clear" w:color="auto" w:fill="auto"/>
            <w:vAlign w:val="center"/>
          </w:tcPr>
          <w:p w14:paraId="4AA9582C">
            <w:pPr>
              <w:pStyle w:val="11"/>
              <w:rPr>
                <w:rFonts w:hint="eastAsia" w:ascii="仿宋_GB2312" w:hAnsi="仿宋_GB2312" w:eastAsia="仿宋_GB2312" w:cs="仿宋_GB2312"/>
                <w:snapToGrid w:val="0"/>
                <w:color w:val="000000"/>
                <w:sz w:val="18"/>
                <w:szCs w:val="18"/>
                <w:highlight w:val="none"/>
                <w:lang w:val="en-US" w:eastAsia="zh-CN" w:bidi="ar-SA"/>
              </w:rPr>
            </w:pPr>
            <w:r>
              <w:rPr>
                <w:rFonts w:hint="eastAsia" w:ascii="仿宋_GB2312" w:hAnsi="仿宋_GB2312" w:eastAsia="仿宋_GB2312" w:cs="仿宋_GB2312"/>
                <w:sz w:val="18"/>
                <w:szCs w:val="18"/>
                <w:highlight w:val="none"/>
                <w:lang w:eastAsia="zh-CN"/>
              </w:rPr>
              <w:t>部门本年度实际非税收入完成数与非税收入计划数的比率，用以反映和考核部门非税收入完成执行情况。</w:t>
            </w:r>
          </w:p>
        </w:tc>
        <w:tc>
          <w:tcPr>
            <w:tcW w:w="1608" w:type="pct"/>
            <w:shd w:val="clear" w:color="auto" w:fill="auto"/>
            <w:vAlign w:val="center"/>
          </w:tcPr>
          <w:p w14:paraId="302BD0D3">
            <w:pPr>
              <w:pStyle w:val="11"/>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非税收入完成率=(非税收入实际完成数/非税收入计划数)×100%</w:t>
            </w:r>
          </w:p>
          <w:p w14:paraId="67EBA561">
            <w:pPr>
              <w:pStyle w:val="11"/>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非税收入实际完成数：部门本年度实际上缴国库的非税收入；</w:t>
            </w:r>
          </w:p>
          <w:p w14:paraId="0E75D277">
            <w:pPr>
              <w:pStyle w:val="11"/>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非税收入计划数：本年度非税系统编制的计划收入数。</w:t>
            </w:r>
          </w:p>
          <w:p w14:paraId="7F3EEEC5">
            <w:pPr>
              <w:pStyle w:val="11"/>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评分规则</w:t>
            </w:r>
          </w:p>
          <w:p w14:paraId="4018C18D">
            <w:pPr>
              <w:pStyle w:val="11"/>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1.比率≥100%,得满分；</w:t>
            </w:r>
          </w:p>
          <w:p w14:paraId="2F1C263A">
            <w:pPr>
              <w:pStyle w:val="11"/>
              <w:rPr>
                <w:rFonts w:hint="eastAsia" w:ascii="仿宋_GB2312" w:hAnsi="仿宋_GB2312" w:eastAsia="仿宋_GB2312" w:cs="仿宋_GB2312"/>
                <w:snapToGrid w:val="0"/>
                <w:color w:val="000000"/>
                <w:sz w:val="18"/>
                <w:szCs w:val="18"/>
                <w:highlight w:val="none"/>
                <w:lang w:val="en-US" w:eastAsia="zh-CN" w:bidi="ar-SA"/>
              </w:rPr>
            </w:pPr>
            <w:r>
              <w:rPr>
                <w:rFonts w:hint="eastAsia" w:ascii="仿宋_GB2312" w:hAnsi="仿宋_GB2312" w:eastAsia="仿宋_GB2312" w:cs="仿宋_GB2312"/>
                <w:sz w:val="18"/>
                <w:szCs w:val="18"/>
                <w:highlight w:val="none"/>
                <w:lang w:eastAsia="zh-CN"/>
              </w:rPr>
              <w:t>2.比率&lt;100%,每减少1%,扣2%的权重分，扣完为止。</w:t>
            </w:r>
          </w:p>
        </w:tc>
        <w:tc>
          <w:tcPr>
            <w:tcW w:w="1240" w:type="pct"/>
            <w:shd w:val="clear" w:color="auto" w:fill="auto"/>
            <w:vAlign w:val="center"/>
          </w:tcPr>
          <w:p w14:paraId="15B63F27">
            <w:pPr>
              <w:pStyle w:val="11"/>
              <w:rPr>
                <w:rFonts w:hint="eastAsia" w:ascii="仿宋_GB2312" w:hAnsi="仿宋_GB2312" w:eastAsia="仿宋_GB2312" w:cs="仿宋_GB2312"/>
                <w:snapToGrid w:val="0"/>
                <w:color w:val="000000"/>
                <w:sz w:val="18"/>
                <w:szCs w:val="18"/>
                <w:highlight w:val="none"/>
                <w:lang w:val="en-US" w:eastAsia="zh-CN" w:bidi="ar-SA"/>
              </w:rPr>
            </w:pPr>
            <w:r>
              <w:rPr>
                <w:rFonts w:hint="eastAsia" w:ascii="仿宋_GB2312" w:hAnsi="仿宋_GB2312" w:eastAsia="仿宋_GB2312" w:cs="仿宋_GB2312"/>
                <w:sz w:val="18"/>
                <w:szCs w:val="18"/>
                <w:highlight w:val="none"/>
                <w:lang w:eastAsia="zh-CN"/>
              </w:rPr>
              <w:t>非税收入计划完成率=(非税收入实际完成数</w:t>
            </w:r>
            <w:r>
              <w:rPr>
                <w:rFonts w:hint="eastAsia" w:ascii="仿宋_GB2312" w:hAnsi="仿宋_GB2312" w:eastAsia="仿宋_GB2312" w:cs="仿宋_GB2312"/>
                <w:sz w:val="18"/>
                <w:szCs w:val="18"/>
                <w:highlight w:val="none"/>
                <w:lang w:val="en-US" w:eastAsia="zh-CN"/>
              </w:rPr>
              <w:t>5916</w:t>
            </w:r>
            <w:r>
              <w:rPr>
                <w:rFonts w:hint="eastAsia" w:ascii="仿宋_GB2312" w:hAnsi="仿宋_GB2312" w:eastAsia="仿宋_GB2312" w:cs="仿宋_GB2312"/>
                <w:sz w:val="18"/>
                <w:szCs w:val="18"/>
                <w:highlight w:val="none"/>
                <w:lang w:eastAsia="zh-CN"/>
              </w:rPr>
              <w:t>万元/非税收入计划数</w:t>
            </w:r>
            <w:r>
              <w:rPr>
                <w:rFonts w:hint="eastAsia" w:ascii="仿宋_GB2312" w:hAnsi="仿宋_GB2312" w:eastAsia="仿宋_GB2312" w:cs="仿宋_GB2312"/>
                <w:sz w:val="18"/>
                <w:szCs w:val="18"/>
                <w:highlight w:val="none"/>
                <w:lang w:val="en-US" w:eastAsia="zh-CN"/>
              </w:rPr>
              <w:t>4105</w:t>
            </w:r>
            <w:r>
              <w:rPr>
                <w:rFonts w:hint="eastAsia" w:ascii="仿宋_GB2312" w:hAnsi="仿宋_GB2312" w:eastAsia="仿宋_GB2312" w:cs="仿宋_GB2312"/>
                <w:sz w:val="18"/>
                <w:szCs w:val="18"/>
                <w:highlight w:val="none"/>
                <w:lang w:eastAsia="zh-CN"/>
              </w:rPr>
              <w:t>万元)×100%=</w:t>
            </w:r>
            <w:r>
              <w:rPr>
                <w:rFonts w:hint="eastAsia" w:ascii="仿宋_GB2312" w:hAnsi="仿宋_GB2312" w:eastAsia="仿宋_GB2312" w:cs="仿宋_GB2312"/>
                <w:sz w:val="18"/>
                <w:szCs w:val="18"/>
                <w:highlight w:val="none"/>
                <w:lang w:val="en-US" w:eastAsia="zh-CN"/>
              </w:rPr>
              <w:t>144.12</w:t>
            </w:r>
            <w:r>
              <w:rPr>
                <w:rFonts w:hint="eastAsia" w:ascii="仿宋_GB2312" w:hAnsi="仿宋_GB2312" w:eastAsia="仿宋_GB2312" w:cs="仿宋_GB2312"/>
                <w:sz w:val="18"/>
                <w:szCs w:val="18"/>
                <w:highlight w:val="none"/>
                <w:lang w:eastAsia="zh-CN"/>
              </w:rPr>
              <w:t>%。</w:t>
            </w:r>
          </w:p>
        </w:tc>
        <w:tc>
          <w:tcPr>
            <w:tcW w:w="233" w:type="pct"/>
            <w:shd w:val="clear" w:color="auto" w:fill="auto"/>
            <w:vAlign w:val="center"/>
          </w:tcPr>
          <w:p w14:paraId="41EBBF22">
            <w:pPr>
              <w:pStyle w:val="11"/>
              <w:jc w:val="center"/>
              <w:rPr>
                <w:rFonts w:hint="eastAsia" w:ascii="仿宋_GB2312" w:hAnsi="仿宋_GB2312" w:eastAsia="仿宋_GB2312" w:cs="仿宋_GB2312"/>
                <w:snapToGrid w:val="0"/>
                <w:color w:val="000000"/>
                <w:sz w:val="18"/>
                <w:szCs w:val="18"/>
                <w:highlight w:val="none"/>
                <w:lang w:val="en-US" w:eastAsia="zh-CN" w:bidi="ar-SA"/>
              </w:rPr>
            </w:pPr>
            <w:r>
              <w:rPr>
                <w:rFonts w:hint="eastAsia" w:ascii="仿宋_GB2312" w:hAnsi="仿宋_GB2312" w:eastAsia="仿宋_GB2312" w:cs="仿宋_GB2312"/>
                <w:sz w:val="18"/>
                <w:szCs w:val="18"/>
                <w:highlight w:val="none"/>
              </w:rPr>
              <w:t>1</w:t>
            </w:r>
          </w:p>
        </w:tc>
      </w:tr>
      <w:tr w14:paraId="0D236C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62" w:hRule="atLeast"/>
          <w:jc w:val="center"/>
        </w:trPr>
        <w:tc>
          <w:tcPr>
            <w:tcW w:w="254" w:type="pct"/>
            <w:vMerge w:val="continue"/>
            <w:vAlign w:val="center"/>
          </w:tcPr>
          <w:p w14:paraId="53D517DA">
            <w:pPr>
              <w:pStyle w:val="11"/>
              <w:jc w:val="center"/>
              <w:rPr>
                <w:rFonts w:hint="eastAsia" w:ascii="仿宋_GB2312" w:hAnsi="仿宋_GB2312" w:eastAsia="仿宋_GB2312" w:cs="仿宋_GB2312"/>
                <w:sz w:val="18"/>
                <w:szCs w:val="18"/>
                <w:highlight w:val="none"/>
              </w:rPr>
            </w:pPr>
          </w:p>
        </w:tc>
        <w:tc>
          <w:tcPr>
            <w:tcW w:w="297" w:type="pct"/>
            <w:vMerge w:val="restart"/>
            <w:tcBorders>
              <w:top w:val="single" w:color="auto" w:sz="4" w:space="0"/>
              <w:left w:val="single" w:color="auto" w:sz="4" w:space="0"/>
              <w:bottom w:val="single" w:color="auto" w:sz="4" w:space="0"/>
              <w:right w:val="single" w:color="auto" w:sz="4" w:space="0"/>
            </w:tcBorders>
            <w:vAlign w:val="center"/>
          </w:tcPr>
          <w:p w14:paraId="54BE75B9">
            <w:pPr>
              <w:pStyle w:val="11"/>
              <w:jc w:val="center"/>
              <w:rPr>
                <w:rFonts w:hint="eastAsia" w:ascii="仿宋_GB2312" w:hAnsi="仿宋_GB2312" w:eastAsia="仿宋_GB2312" w:cs="仿宋_GB2312"/>
                <w:sz w:val="18"/>
                <w:szCs w:val="18"/>
                <w:highlight w:val="none"/>
              </w:rPr>
            </w:pPr>
            <w:r>
              <w:rPr>
                <w:rFonts w:hint="eastAsia" w:ascii="仿宋_GB2312" w:hAnsi="仿宋_GB2312" w:eastAsia="仿宋_GB2312" w:cs="仿宋_GB2312"/>
                <w:sz w:val="18"/>
                <w:szCs w:val="18"/>
                <w:highlight w:val="none"/>
              </w:rPr>
              <w:t>B2</w:t>
            </w:r>
          </w:p>
          <w:p w14:paraId="08996067">
            <w:pPr>
              <w:pStyle w:val="11"/>
              <w:jc w:val="center"/>
              <w:rPr>
                <w:rFonts w:hint="eastAsia" w:ascii="仿宋_GB2312" w:hAnsi="仿宋_GB2312" w:eastAsia="仿宋_GB2312" w:cs="仿宋_GB2312"/>
                <w:sz w:val="18"/>
                <w:szCs w:val="18"/>
                <w:highlight w:val="none"/>
              </w:rPr>
            </w:pPr>
            <w:r>
              <w:rPr>
                <w:rFonts w:hint="eastAsia" w:ascii="仿宋_GB2312" w:hAnsi="仿宋_GB2312" w:eastAsia="仿宋_GB2312" w:cs="仿宋_GB2312"/>
                <w:sz w:val="18"/>
                <w:szCs w:val="18"/>
                <w:highlight w:val="none"/>
              </w:rPr>
              <w:t>预算管理</w:t>
            </w:r>
          </w:p>
          <w:p w14:paraId="76B33954">
            <w:pPr>
              <w:pStyle w:val="11"/>
              <w:jc w:val="center"/>
              <w:rPr>
                <w:rFonts w:hint="eastAsia" w:ascii="仿宋_GB2312" w:hAnsi="仿宋_GB2312" w:eastAsia="仿宋_GB2312" w:cs="仿宋_GB2312"/>
                <w:sz w:val="18"/>
                <w:szCs w:val="18"/>
                <w:highlight w:val="none"/>
              </w:rPr>
            </w:pPr>
            <w:r>
              <w:rPr>
                <w:rFonts w:hint="eastAsia" w:ascii="仿宋_GB2312" w:hAnsi="仿宋_GB2312" w:eastAsia="仿宋_GB2312" w:cs="仿宋_GB2312"/>
                <w:sz w:val="18"/>
                <w:szCs w:val="18"/>
                <w:highlight w:val="none"/>
              </w:rPr>
              <w:t>(7)</w:t>
            </w:r>
          </w:p>
          <w:p w14:paraId="74D86936">
            <w:pPr>
              <w:pStyle w:val="11"/>
              <w:jc w:val="center"/>
              <w:rPr>
                <w:rFonts w:hint="eastAsia" w:ascii="仿宋_GB2312" w:hAnsi="仿宋_GB2312" w:eastAsia="仿宋_GB2312" w:cs="仿宋_GB2312"/>
                <w:sz w:val="18"/>
                <w:szCs w:val="18"/>
                <w:highlight w:val="none"/>
              </w:rPr>
            </w:pPr>
          </w:p>
        </w:tc>
        <w:tc>
          <w:tcPr>
            <w:tcW w:w="284" w:type="pct"/>
            <w:tcBorders>
              <w:left w:val="single" w:color="auto" w:sz="4" w:space="0"/>
            </w:tcBorders>
            <w:shd w:val="clear" w:color="auto" w:fill="auto"/>
            <w:vAlign w:val="center"/>
          </w:tcPr>
          <w:p w14:paraId="3DAD7642">
            <w:pPr>
              <w:pStyle w:val="11"/>
              <w:jc w:val="center"/>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B21</w:t>
            </w:r>
          </w:p>
          <w:p w14:paraId="501B9BED">
            <w:pPr>
              <w:pStyle w:val="11"/>
              <w:jc w:val="center"/>
              <w:rPr>
                <w:rFonts w:hint="eastAsia" w:ascii="仿宋_GB2312" w:hAnsi="仿宋_GB2312" w:eastAsia="仿宋_GB2312" w:cs="仿宋_GB2312"/>
                <w:snapToGrid w:val="0"/>
                <w:color w:val="000000"/>
                <w:sz w:val="18"/>
                <w:szCs w:val="18"/>
                <w:highlight w:val="none"/>
                <w:lang w:val="en-US" w:eastAsia="zh-CN" w:bidi="ar-SA"/>
              </w:rPr>
            </w:pPr>
            <w:r>
              <w:rPr>
                <w:rFonts w:hint="eastAsia" w:ascii="仿宋_GB2312" w:hAnsi="仿宋_GB2312" w:eastAsia="仿宋_GB2312" w:cs="仿宋_GB2312"/>
                <w:sz w:val="18"/>
                <w:szCs w:val="18"/>
                <w:highlight w:val="none"/>
                <w:lang w:eastAsia="zh-CN"/>
              </w:rPr>
              <w:t>预算管理制度健全性</w:t>
            </w:r>
          </w:p>
        </w:tc>
        <w:tc>
          <w:tcPr>
            <w:tcW w:w="231" w:type="pct"/>
            <w:shd w:val="clear" w:color="auto" w:fill="auto"/>
            <w:vAlign w:val="center"/>
          </w:tcPr>
          <w:p w14:paraId="1B3B9DA5">
            <w:pPr>
              <w:pStyle w:val="11"/>
              <w:jc w:val="center"/>
              <w:rPr>
                <w:rFonts w:hint="eastAsia" w:ascii="仿宋_GB2312" w:hAnsi="仿宋_GB2312" w:eastAsia="仿宋_GB2312" w:cs="仿宋_GB2312"/>
                <w:snapToGrid w:val="0"/>
                <w:color w:val="000000"/>
                <w:sz w:val="18"/>
                <w:szCs w:val="18"/>
                <w:highlight w:val="none"/>
                <w:lang w:val="en-US" w:eastAsia="en-US" w:bidi="ar-SA"/>
              </w:rPr>
            </w:pPr>
            <w:r>
              <w:rPr>
                <w:rFonts w:hint="eastAsia" w:ascii="仿宋_GB2312" w:hAnsi="仿宋_GB2312" w:eastAsia="仿宋_GB2312" w:cs="仿宋_GB2312"/>
                <w:sz w:val="18"/>
                <w:szCs w:val="18"/>
                <w:highlight w:val="none"/>
              </w:rPr>
              <w:t>健全</w:t>
            </w:r>
          </w:p>
        </w:tc>
        <w:tc>
          <w:tcPr>
            <w:tcW w:w="151" w:type="pct"/>
            <w:shd w:val="clear" w:color="auto" w:fill="auto"/>
            <w:vAlign w:val="center"/>
          </w:tcPr>
          <w:p w14:paraId="1C92694C">
            <w:pPr>
              <w:pStyle w:val="11"/>
              <w:jc w:val="center"/>
              <w:rPr>
                <w:rFonts w:hint="eastAsia" w:ascii="仿宋_GB2312" w:hAnsi="仿宋_GB2312" w:eastAsia="仿宋_GB2312" w:cs="仿宋_GB2312"/>
                <w:snapToGrid w:val="0"/>
                <w:color w:val="000000"/>
                <w:sz w:val="18"/>
                <w:szCs w:val="18"/>
                <w:highlight w:val="none"/>
                <w:lang w:val="en-US" w:eastAsia="en-US" w:bidi="ar-SA"/>
              </w:rPr>
            </w:pPr>
            <w:r>
              <w:rPr>
                <w:rFonts w:hint="eastAsia" w:ascii="仿宋_GB2312" w:hAnsi="仿宋_GB2312" w:eastAsia="仿宋_GB2312" w:cs="仿宋_GB2312"/>
                <w:sz w:val="18"/>
                <w:szCs w:val="18"/>
                <w:highlight w:val="none"/>
              </w:rPr>
              <w:t>1</w:t>
            </w:r>
          </w:p>
        </w:tc>
        <w:tc>
          <w:tcPr>
            <w:tcW w:w="698" w:type="pct"/>
            <w:shd w:val="clear" w:color="auto" w:fill="auto"/>
            <w:vAlign w:val="center"/>
          </w:tcPr>
          <w:p w14:paraId="050347C4">
            <w:pPr>
              <w:pStyle w:val="11"/>
              <w:rPr>
                <w:rFonts w:hint="eastAsia" w:ascii="仿宋_GB2312" w:hAnsi="仿宋_GB2312" w:eastAsia="仿宋_GB2312" w:cs="仿宋_GB2312"/>
                <w:snapToGrid w:val="0"/>
                <w:color w:val="000000"/>
                <w:sz w:val="18"/>
                <w:szCs w:val="18"/>
                <w:highlight w:val="none"/>
                <w:lang w:val="en-US" w:eastAsia="zh-CN" w:bidi="ar-SA"/>
              </w:rPr>
            </w:pPr>
            <w:r>
              <w:rPr>
                <w:rFonts w:hint="eastAsia" w:ascii="仿宋_GB2312" w:hAnsi="仿宋_GB2312" w:eastAsia="仿宋_GB2312" w:cs="仿宋_GB2312"/>
                <w:sz w:val="18"/>
                <w:szCs w:val="18"/>
                <w:highlight w:val="none"/>
                <w:lang w:eastAsia="zh-CN"/>
              </w:rPr>
              <w:t>部门为加强预算管理、规范财务行为而制定的管理制度是否健全完整，用以反映和考核部门预算管理制度对完成部门整体预算和职责履行的保障作用。</w:t>
            </w:r>
          </w:p>
        </w:tc>
        <w:tc>
          <w:tcPr>
            <w:tcW w:w="1608" w:type="pct"/>
            <w:shd w:val="clear" w:color="auto" w:fill="auto"/>
            <w:vAlign w:val="center"/>
          </w:tcPr>
          <w:p w14:paraId="0C74160D">
            <w:pPr>
              <w:pStyle w:val="11"/>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评价要点：</w:t>
            </w:r>
          </w:p>
          <w:p w14:paraId="0B75D606">
            <w:pPr>
              <w:pStyle w:val="11"/>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1.是否已制定或具有相应的预算管理内控制度，包括收入与支出管理、往来资金结算管理、现金及银行存款管理、财务监督管理、政府采购管理、绩效管理等；</w:t>
            </w:r>
          </w:p>
          <w:p w14:paraId="2F3C2AC2">
            <w:pPr>
              <w:pStyle w:val="11"/>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2.预算管理制度是否合法、合规、完整。</w:t>
            </w:r>
          </w:p>
          <w:p w14:paraId="7D058C78">
            <w:pPr>
              <w:pStyle w:val="11"/>
              <w:rPr>
                <w:rFonts w:hint="eastAsia" w:ascii="仿宋_GB2312" w:hAnsi="仿宋_GB2312" w:eastAsia="仿宋_GB2312" w:cs="仿宋_GB2312"/>
                <w:snapToGrid w:val="0"/>
                <w:color w:val="000000"/>
                <w:sz w:val="18"/>
                <w:szCs w:val="18"/>
                <w:highlight w:val="none"/>
                <w:lang w:val="en-US" w:eastAsia="zh-CN" w:bidi="ar-SA"/>
              </w:rPr>
            </w:pPr>
            <w:r>
              <w:rPr>
                <w:rFonts w:hint="eastAsia" w:ascii="仿宋_GB2312" w:hAnsi="仿宋_GB2312" w:eastAsia="仿宋_GB2312" w:cs="仿宋_GB2312"/>
                <w:sz w:val="18"/>
                <w:szCs w:val="18"/>
                <w:highlight w:val="none"/>
                <w:lang w:eastAsia="zh-CN"/>
              </w:rPr>
              <w:t>评分规则：以上评价要点各占1/2分值，每个要点执行情况分为达成、部分达成、未达成三档，分别按分值的100%-80%(含)、80%-60%(含)、60%-0%合理确定分值。</w:t>
            </w:r>
          </w:p>
        </w:tc>
        <w:tc>
          <w:tcPr>
            <w:tcW w:w="1240" w:type="pct"/>
            <w:shd w:val="clear" w:color="auto" w:fill="auto"/>
            <w:vAlign w:val="center"/>
          </w:tcPr>
          <w:p w14:paraId="4B6F8621">
            <w:pPr>
              <w:pStyle w:val="11"/>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1.已制定预算管理内控制度，绩效管理制度，包括收入与支出管理、现金及银行存款管理、财务监督管理，但缺少政府采购管理制度，部分达成，扣0.1分；</w:t>
            </w:r>
          </w:p>
          <w:p w14:paraId="0045C5ED">
            <w:pPr>
              <w:pStyle w:val="11"/>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2.预算管理制度合法、合规、完整，达成。</w:t>
            </w:r>
          </w:p>
          <w:p w14:paraId="59B44261">
            <w:pPr>
              <w:pStyle w:val="11"/>
              <w:rPr>
                <w:rFonts w:hint="default" w:ascii="仿宋_GB2312" w:hAnsi="仿宋_GB2312" w:eastAsia="仿宋_GB2312" w:cs="仿宋_GB2312"/>
                <w:sz w:val="18"/>
                <w:szCs w:val="18"/>
                <w:highlight w:val="none"/>
                <w:lang w:val="en-US" w:eastAsia="zh-CN"/>
              </w:rPr>
            </w:pPr>
            <w:r>
              <w:rPr>
                <w:rFonts w:hint="eastAsia" w:ascii="仿宋_GB2312" w:hAnsi="仿宋_GB2312" w:eastAsia="仿宋_GB2312" w:cs="仿宋_GB2312"/>
                <w:sz w:val="18"/>
                <w:szCs w:val="18"/>
                <w:highlight w:val="none"/>
                <w:lang w:eastAsia="zh-CN"/>
              </w:rPr>
              <w:t>扣分说明：缺少政府采购管理制度，扣</w:t>
            </w:r>
            <w:r>
              <w:rPr>
                <w:rFonts w:hint="eastAsia" w:ascii="仿宋_GB2312" w:hAnsi="仿宋_GB2312" w:eastAsia="仿宋_GB2312" w:cs="仿宋_GB2312"/>
                <w:sz w:val="18"/>
                <w:szCs w:val="18"/>
                <w:highlight w:val="none"/>
                <w:lang w:val="en-US" w:eastAsia="zh-CN"/>
              </w:rPr>
              <w:t>0.1分。</w:t>
            </w:r>
          </w:p>
        </w:tc>
        <w:tc>
          <w:tcPr>
            <w:tcW w:w="233" w:type="pct"/>
            <w:shd w:val="clear" w:color="auto" w:fill="auto"/>
            <w:vAlign w:val="center"/>
          </w:tcPr>
          <w:p w14:paraId="1E04626C">
            <w:pPr>
              <w:pStyle w:val="11"/>
              <w:jc w:val="center"/>
              <w:rPr>
                <w:rFonts w:hint="eastAsia" w:ascii="仿宋_GB2312" w:hAnsi="仿宋_GB2312" w:eastAsia="仿宋_GB2312" w:cs="仿宋_GB2312"/>
                <w:snapToGrid w:val="0"/>
                <w:color w:val="000000"/>
                <w:sz w:val="18"/>
                <w:szCs w:val="18"/>
                <w:highlight w:val="none"/>
                <w:lang w:val="en-US" w:eastAsia="zh-CN" w:bidi="ar-SA"/>
              </w:rPr>
            </w:pPr>
            <w:r>
              <w:rPr>
                <w:rFonts w:hint="eastAsia" w:ascii="仿宋_GB2312" w:hAnsi="仿宋_GB2312" w:eastAsia="仿宋_GB2312" w:cs="仿宋_GB2312"/>
                <w:sz w:val="18"/>
                <w:szCs w:val="18"/>
                <w:highlight w:val="none"/>
              </w:rPr>
              <w:t>0.</w:t>
            </w:r>
            <w:r>
              <w:rPr>
                <w:rFonts w:hint="eastAsia" w:ascii="仿宋_GB2312" w:hAnsi="仿宋_GB2312" w:eastAsia="仿宋_GB2312" w:cs="仿宋_GB2312"/>
                <w:sz w:val="18"/>
                <w:szCs w:val="18"/>
                <w:highlight w:val="none"/>
                <w:lang w:eastAsia="zh-CN"/>
              </w:rPr>
              <w:t>9</w:t>
            </w:r>
          </w:p>
        </w:tc>
      </w:tr>
      <w:tr w14:paraId="47ECA4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17" w:hRule="atLeast"/>
          <w:jc w:val="center"/>
        </w:trPr>
        <w:tc>
          <w:tcPr>
            <w:tcW w:w="254" w:type="pct"/>
            <w:vMerge w:val="continue"/>
            <w:vAlign w:val="center"/>
          </w:tcPr>
          <w:p w14:paraId="3926E7CE">
            <w:pPr>
              <w:pStyle w:val="11"/>
              <w:jc w:val="center"/>
              <w:rPr>
                <w:rFonts w:hint="eastAsia" w:ascii="仿宋_GB2312" w:hAnsi="仿宋_GB2312" w:eastAsia="仿宋_GB2312" w:cs="仿宋_GB2312"/>
                <w:sz w:val="18"/>
                <w:szCs w:val="18"/>
                <w:highlight w:val="none"/>
              </w:rPr>
            </w:pPr>
          </w:p>
        </w:tc>
        <w:tc>
          <w:tcPr>
            <w:tcW w:w="297" w:type="pct"/>
            <w:vMerge w:val="continue"/>
            <w:tcBorders>
              <w:top w:val="single" w:color="auto" w:sz="4" w:space="0"/>
              <w:left w:val="single" w:color="auto" w:sz="4" w:space="0"/>
              <w:bottom w:val="single" w:color="auto" w:sz="4" w:space="0"/>
              <w:right w:val="single" w:color="auto" w:sz="4" w:space="0"/>
            </w:tcBorders>
            <w:vAlign w:val="center"/>
          </w:tcPr>
          <w:p w14:paraId="7092FF62">
            <w:pPr>
              <w:pStyle w:val="11"/>
              <w:jc w:val="center"/>
              <w:rPr>
                <w:rFonts w:hint="eastAsia" w:ascii="仿宋_GB2312" w:hAnsi="仿宋_GB2312" w:eastAsia="仿宋_GB2312" w:cs="仿宋_GB2312"/>
                <w:sz w:val="18"/>
                <w:szCs w:val="18"/>
                <w:highlight w:val="none"/>
              </w:rPr>
            </w:pPr>
          </w:p>
        </w:tc>
        <w:tc>
          <w:tcPr>
            <w:tcW w:w="284" w:type="pct"/>
            <w:tcBorders>
              <w:left w:val="single" w:color="auto" w:sz="4" w:space="0"/>
            </w:tcBorders>
            <w:shd w:val="clear" w:color="auto" w:fill="auto"/>
            <w:vAlign w:val="center"/>
          </w:tcPr>
          <w:p w14:paraId="5030CEF8">
            <w:pPr>
              <w:pStyle w:val="11"/>
              <w:jc w:val="center"/>
              <w:rPr>
                <w:rFonts w:hint="eastAsia" w:ascii="仿宋_GB2312" w:hAnsi="仿宋_GB2312" w:eastAsia="仿宋_GB2312" w:cs="仿宋_GB2312"/>
                <w:sz w:val="18"/>
                <w:szCs w:val="18"/>
                <w:highlight w:val="none"/>
              </w:rPr>
            </w:pPr>
            <w:r>
              <w:rPr>
                <w:rFonts w:hint="eastAsia" w:ascii="仿宋_GB2312" w:hAnsi="仿宋_GB2312" w:eastAsia="仿宋_GB2312" w:cs="仿宋_GB2312"/>
                <w:sz w:val="18"/>
                <w:szCs w:val="18"/>
                <w:highlight w:val="none"/>
              </w:rPr>
              <w:t>B22</w:t>
            </w:r>
          </w:p>
          <w:p w14:paraId="1DBD0621">
            <w:pPr>
              <w:pStyle w:val="11"/>
              <w:jc w:val="center"/>
              <w:rPr>
                <w:rFonts w:hint="eastAsia" w:ascii="仿宋_GB2312" w:hAnsi="仿宋_GB2312" w:eastAsia="仿宋_GB2312" w:cs="仿宋_GB2312"/>
                <w:snapToGrid w:val="0"/>
                <w:color w:val="000000"/>
                <w:sz w:val="18"/>
                <w:szCs w:val="18"/>
                <w:highlight w:val="none"/>
                <w:lang w:val="en-US" w:eastAsia="en-US" w:bidi="ar-SA"/>
              </w:rPr>
            </w:pPr>
            <w:r>
              <w:rPr>
                <w:rFonts w:hint="eastAsia" w:ascii="仿宋_GB2312" w:hAnsi="仿宋_GB2312" w:eastAsia="仿宋_GB2312" w:cs="仿宋_GB2312"/>
                <w:sz w:val="18"/>
                <w:szCs w:val="18"/>
                <w:highlight w:val="none"/>
              </w:rPr>
              <w:t>资金使用合规性</w:t>
            </w:r>
          </w:p>
        </w:tc>
        <w:tc>
          <w:tcPr>
            <w:tcW w:w="231" w:type="pct"/>
            <w:shd w:val="clear" w:color="auto" w:fill="auto"/>
            <w:vAlign w:val="center"/>
          </w:tcPr>
          <w:p w14:paraId="41DCE814">
            <w:pPr>
              <w:pStyle w:val="11"/>
              <w:jc w:val="center"/>
              <w:rPr>
                <w:rFonts w:hint="eastAsia" w:ascii="仿宋_GB2312" w:hAnsi="仿宋_GB2312" w:eastAsia="仿宋_GB2312" w:cs="仿宋_GB2312"/>
                <w:snapToGrid w:val="0"/>
                <w:color w:val="000000"/>
                <w:sz w:val="18"/>
                <w:szCs w:val="18"/>
                <w:highlight w:val="none"/>
                <w:lang w:val="en-US" w:eastAsia="en-US" w:bidi="ar-SA"/>
              </w:rPr>
            </w:pPr>
            <w:r>
              <w:rPr>
                <w:rFonts w:hint="eastAsia" w:ascii="仿宋_GB2312" w:hAnsi="仿宋_GB2312" w:eastAsia="仿宋_GB2312" w:cs="仿宋_GB2312"/>
                <w:sz w:val="18"/>
                <w:szCs w:val="18"/>
                <w:highlight w:val="none"/>
              </w:rPr>
              <w:t>合规</w:t>
            </w:r>
          </w:p>
        </w:tc>
        <w:tc>
          <w:tcPr>
            <w:tcW w:w="151" w:type="pct"/>
            <w:shd w:val="clear" w:color="auto" w:fill="auto"/>
            <w:vAlign w:val="center"/>
          </w:tcPr>
          <w:p w14:paraId="6F0C48F2">
            <w:pPr>
              <w:pStyle w:val="11"/>
              <w:jc w:val="center"/>
              <w:rPr>
                <w:rFonts w:hint="eastAsia" w:ascii="仿宋_GB2312" w:hAnsi="仿宋_GB2312" w:eastAsia="仿宋_GB2312" w:cs="仿宋_GB2312"/>
                <w:snapToGrid w:val="0"/>
                <w:color w:val="000000"/>
                <w:sz w:val="18"/>
                <w:szCs w:val="18"/>
                <w:highlight w:val="none"/>
                <w:lang w:val="en-US" w:eastAsia="en-US" w:bidi="ar-SA"/>
              </w:rPr>
            </w:pPr>
            <w:r>
              <w:rPr>
                <w:rFonts w:hint="eastAsia" w:ascii="仿宋_GB2312" w:hAnsi="仿宋_GB2312" w:eastAsia="仿宋_GB2312" w:cs="仿宋_GB2312"/>
                <w:sz w:val="18"/>
                <w:szCs w:val="18"/>
                <w:highlight w:val="none"/>
              </w:rPr>
              <w:t>2</w:t>
            </w:r>
          </w:p>
        </w:tc>
        <w:tc>
          <w:tcPr>
            <w:tcW w:w="698" w:type="pct"/>
            <w:shd w:val="clear" w:color="auto" w:fill="auto"/>
            <w:vAlign w:val="center"/>
          </w:tcPr>
          <w:p w14:paraId="7FC20CF8">
            <w:pPr>
              <w:pStyle w:val="11"/>
              <w:rPr>
                <w:rFonts w:hint="eastAsia" w:ascii="仿宋_GB2312" w:hAnsi="仿宋_GB2312" w:eastAsia="仿宋_GB2312" w:cs="仿宋_GB2312"/>
                <w:snapToGrid w:val="0"/>
                <w:color w:val="000000"/>
                <w:sz w:val="18"/>
                <w:szCs w:val="18"/>
                <w:highlight w:val="none"/>
                <w:lang w:val="en-US" w:eastAsia="zh-CN" w:bidi="ar-SA"/>
              </w:rPr>
            </w:pPr>
            <w:r>
              <w:rPr>
                <w:rFonts w:hint="eastAsia" w:ascii="仿宋_GB2312" w:hAnsi="仿宋_GB2312" w:eastAsia="仿宋_GB2312" w:cs="仿宋_GB2312"/>
                <w:sz w:val="18"/>
                <w:szCs w:val="18"/>
                <w:highlight w:val="none"/>
                <w:lang w:eastAsia="zh-CN"/>
              </w:rPr>
              <w:t>部门使用预算资金是否符合相关的预算财务管理制度的规定，用以反映和考核部门预算资金的规范运行情况。</w:t>
            </w:r>
          </w:p>
        </w:tc>
        <w:tc>
          <w:tcPr>
            <w:tcW w:w="1608" w:type="pct"/>
            <w:shd w:val="clear" w:color="auto" w:fill="auto"/>
            <w:vAlign w:val="center"/>
          </w:tcPr>
          <w:p w14:paraId="159B1482">
            <w:pPr>
              <w:pStyle w:val="11"/>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评价要点：</w:t>
            </w:r>
          </w:p>
          <w:p w14:paraId="6E536DCA">
            <w:pPr>
              <w:pStyle w:val="11"/>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1.是否符合国家财经法规和财务管理制度以及有关专项资</w:t>
            </w:r>
          </w:p>
          <w:p w14:paraId="4096C1D5">
            <w:pPr>
              <w:pStyle w:val="11"/>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金管理办法的规定；</w:t>
            </w:r>
          </w:p>
          <w:p w14:paraId="521774B3">
            <w:pPr>
              <w:pStyle w:val="11"/>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2.是否存在截留、挤占、挪用、虚列支出等情况；</w:t>
            </w:r>
          </w:p>
          <w:p w14:paraId="046F8808">
            <w:pPr>
              <w:pStyle w:val="11"/>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3.资金拨付是否有完整的审批程序和手续；</w:t>
            </w:r>
          </w:p>
          <w:p w14:paraId="53954605">
            <w:pPr>
              <w:pStyle w:val="11"/>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4.公用经费是否存在超标准支出情况，项目支出与公用经费是否存在重复交叉。</w:t>
            </w:r>
          </w:p>
          <w:p w14:paraId="5D71E5BA">
            <w:pPr>
              <w:pStyle w:val="11"/>
              <w:rPr>
                <w:rFonts w:hint="eastAsia" w:ascii="仿宋_GB2312" w:hAnsi="仿宋_GB2312" w:eastAsia="仿宋_GB2312" w:cs="仿宋_GB2312"/>
                <w:snapToGrid w:val="0"/>
                <w:color w:val="000000"/>
                <w:sz w:val="18"/>
                <w:szCs w:val="18"/>
                <w:highlight w:val="none"/>
                <w:lang w:val="en-US" w:eastAsia="zh-CN" w:bidi="ar-SA"/>
              </w:rPr>
            </w:pPr>
            <w:r>
              <w:rPr>
                <w:rFonts w:hint="eastAsia" w:ascii="仿宋_GB2312" w:hAnsi="仿宋_GB2312" w:eastAsia="仿宋_GB2312" w:cs="仿宋_GB2312"/>
                <w:sz w:val="18"/>
                <w:szCs w:val="18"/>
                <w:highlight w:val="none"/>
                <w:lang w:eastAsia="zh-CN"/>
              </w:rPr>
              <w:t>评分规则：以上评价要点各占1/4分值，每个要点执行情况分为达成、部分达成、未达成三档，分别按分值的100%-80%(含)、80%-60%(含)、60%-0%合理确定分值。</w:t>
            </w:r>
          </w:p>
        </w:tc>
        <w:tc>
          <w:tcPr>
            <w:tcW w:w="1240" w:type="pct"/>
            <w:shd w:val="clear" w:color="auto" w:fill="auto"/>
            <w:vAlign w:val="center"/>
          </w:tcPr>
          <w:p w14:paraId="67C96324">
            <w:pPr>
              <w:pStyle w:val="11"/>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1.符合国家财经法规和财务管理制度以及有关专项资金管理办法的规定；</w:t>
            </w:r>
          </w:p>
          <w:p w14:paraId="1287011E">
            <w:pPr>
              <w:pStyle w:val="11"/>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2.不存在截留、挤占、挪用、虚列支出等情况；</w:t>
            </w:r>
          </w:p>
          <w:p w14:paraId="58150AFB">
            <w:pPr>
              <w:pStyle w:val="11"/>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3.资金拨付有完整的审批程序和手续；</w:t>
            </w:r>
          </w:p>
          <w:p w14:paraId="7A0C28EF">
            <w:pPr>
              <w:pStyle w:val="11"/>
              <w:rPr>
                <w:rFonts w:hint="eastAsia" w:ascii="仿宋_GB2312" w:hAnsi="仿宋_GB2312" w:eastAsia="仿宋_GB2312" w:cs="仿宋_GB2312"/>
                <w:snapToGrid w:val="0"/>
                <w:color w:val="000000"/>
                <w:sz w:val="18"/>
                <w:szCs w:val="18"/>
                <w:highlight w:val="none"/>
                <w:lang w:val="en-US" w:eastAsia="zh-CN" w:bidi="ar-SA"/>
              </w:rPr>
            </w:pPr>
            <w:r>
              <w:rPr>
                <w:rFonts w:hint="eastAsia" w:ascii="仿宋_GB2312" w:hAnsi="仿宋_GB2312" w:eastAsia="仿宋_GB2312" w:cs="仿宋_GB2312"/>
                <w:sz w:val="18"/>
                <w:szCs w:val="18"/>
                <w:highlight w:val="none"/>
                <w:lang w:eastAsia="zh-CN"/>
              </w:rPr>
              <w:t>4.公用经费不存在超标准支出情况，项目支出与公用经费不存在重复交叉。</w:t>
            </w:r>
          </w:p>
        </w:tc>
        <w:tc>
          <w:tcPr>
            <w:tcW w:w="233" w:type="pct"/>
            <w:shd w:val="clear" w:color="auto" w:fill="auto"/>
            <w:vAlign w:val="center"/>
          </w:tcPr>
          <w:p w14:paraId="75B27287">
            <w:pPr>
              <w:pStyle w:val="11"/>
              <w:jc w:val="center"/>
              <w:rPr>
                <w:rFonts w:hint="eastAsia" w:ascii="仿宋_GB2312" w:hAnsi="仿宋_GB2312" w:eastAsia="仿宋_GB2312" w:cs="仿宋_GB2312"/>
                <w:snapToGrid w:val="0"/>
                <w:color w:val="000000"/>
                <w:sz w:val="18"/>
                <w:szCs w:val="18"/>
                <w:highlight w:val="none"/>
                <w:lang w:val="en-US" w:eastAsia="zh-CN" w:bidi="ar-SA"/>
              </w:rPr>
            </w:pPr>
            <w:r>
              <w:rPr>
                <w:rFonts w:hint="eastAsia" w:ascii="仿宋_GB2312" w:hAnsi="仿宋_GB2312" w:eastAsia="仿宋_GB2312" w:cs="仿宋_GB2312"/>
                <w:sz w:val="18"/>
                <w:szCs w:val="18"/>
                <w:highlight w:val="none"/>
              </w:rPr>
              <w:t>2</w:t>
            </w:r>
          </w:p>
        </w:tc>
      </w:tr>
      <w:tr w14:paraId="3330C0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57" w:hRule="atLeast"/>
          <w:jc w:val="center"/>
        </w:trPr>
        <w:tc>
          <w:tcPr>
            <w:tcW w:w="254" w:type="pct"/>
            <w:vMerge w:val="continue"/>
            <w:vAlign w:val="center"/>
          </w:tcPr>
          <w:p w14:paraId="574A00E6">
            <w:pPr>
              <w:pStyle w:val="11"/>
              <w:jc w:val="center"/>
              <w:rPr>
                <w:rFonts w:hint="eastAsia" w:ascii="仿宋_GB2312" w:hAnsi="仿宋_GB2312" w:eastAsia="仿宋_GB2312" w:cs="仿宋_GB2312"/>
                <w:sz w:val="18"/>
                <w:szCs w:val="18"/>
                <w:highlight w:val="none"/>
              </w:rPr>
            </w:pPr>
          </w:p>
        </w:tc>
        <w:tc>
          <w:tcPr>
            <w:tcW w:w="297" w:type="pct"/>
            <w:vMerge w:val="continue"/>
            <w:tcBorders>
              <w:top w:val="single" w:color="auto" w:sz="4" w:space="0"/>
              <w:left w:val="single" w:color="auto" w:sz="4" w:space="0"/>
              <w:bottom w:val="single" w:color="auto" w:sz="4" w:space="0"/>
              <w:right w:val="single" w:color="auto" w:sz="4" w:space="0"/>
            </w:tcBorders>
            <w:vAlign w:val="center"/>
          </w:tcPr>
          <w:p w14:paraId="01617E13">
            <w:pPr>
              <w:pStyle w:val="11"/>
              <w:jc w:val="center"/>
              <w:rPr>
                <w:rFonts w:hint="eastAsia" w:ascii="仿宋_GB2312" w:hAnsi="仿宋_GB2312" w:eastAsia="仿宋_GB2312" w:cs="仿宋_GB2312"/>
                <w:sz w:val="18"/>
                <w:szCs w:val="18"/>
                <w:highlight w:val="none"/>
              </w:rPr>
            </w:pPr>
          </w:p>
        </w:tc>
        <w:tc>
          <w:tcPr>
            <w:tcW w:w="284" w:type="pct"/>
            <w:tcBorders>
              <w:left w:val="single" w:color="auto" w:sz="4" w:space="0"/>
            </w:tcBorders>
            <w:shd w:val="clear" w:color="auto" w:fill="auto"/>
            <w:vAlign w:val="center"/>
          </w:tcPr>
          <w:p w14:paraId="780D29C7">
            <w:pPr>
              <w:pStyle w:val="11"/>
              <w:jc w:val="center"/>
              <w:rPr>
                <w:rFonts w:hint="eastAsia" w:ascii="仿宋_GB2312" w:hAnsi="仿宋_GB2312" w:eastAsia="仿宋_GB2312" w:cs="仿宋_GB2312"/>
                <w:sz w:val="18"/>
                <w:szCs w:val="18"/>
                <w:highlight w:val="none"/>
              </w:rPr>
            </w:pPr>
            <w:r>
              <w:rPr>
                <w:rFonts w:hint="eastAsia" w:ascii="仿宋_GB2312" w:hAnsi="仿宋_GB2312" w:eastAsia="仿宋_GB2312" w:cs="仿宋_GB2312"/>
                <w:sz w:val="18"/>
                <w:szCs w:val="18"/>
                <w:highlight w:val="none"/>
              </w:rPr>
              <w:t>B23</w:t>
            </w:r>
          </w:p>
          <w:p w14:paraId="7FF46988">
            <w:pPr>
              <w:pStyle w:val="11"/>
              <w:jc w:val="center"/>
              <w:rPr>
                <w:rFonts w:hint="eastAsia" w:ascii="仿宋_GB2312" w:hAnsi="仿宋_GB2312" w:eastAsia="仿宋_GB2312" w:cs="仿宋_GB2312"/>
                <w:sz w:val="18"/>
                <w:szCs w:val="18"/>
                <w:highlight w:val="none"/>
              </w:rPr>
            </w:pPr>
            <w:r>
              <w:rPr>
                <w:rFonts w:hint="eastAsia" w:ascii="仿宋_GB2312" w:hAnsi="仿宋_GB2312" w:eastAsia="仿宋_GB2312" w:cs="仿宋_GB2312"/>
                <w:sz w:val="18"/>
                <w:szCs w:val="18"/>
                <w:highlight w:val="none"/>
              </w:rPr>
              <w:t>绩效管理</w:t>
            </w:r>
          </w:p>
          <w:p w14:paraId="1F5EEBDC">
            <w:pPr>
              <w:pStyle w:val="11"/>
              <w:jc w:val="center"/>
              <w:rPr>
                <w:rFonts w:hint="eastAsia" w:ascii="仿宋_GB2312" w:hAnsi="仿宋_GB2312" w:eastAsia="仿宋_GB2312" w:cs="仿宋_GB2312"/>
                <w:snapToGrid w:val="0"/>
                <w:color w:val="000000"/>
                <w:sz w:val="18"/>
                <w:szCs w:val="18"/>
                <w:highlight w:val="none"/>
                <w:lang w:val="en-US" w:eastAsia="en-US" w:bidi="ar-SA"/>
              </w:rPr>
            </w:pPr>
            <w:r>
              <w:rPr>
                <w:rFonts w:hint="eastAsia" w:ascii="仿宋_GB2312" w:hAnsi="仿宋_GB2312" w:eastAsia="仿宋_GB2312" w:cs="仿宋_GB2312"/>
                <w:sz w:val="18"/>
                <w:szCs w:val="18"/>
                <w:highlight w:val="none"/>
              </w:rPr>
              <w:t>覆盖率</w:t>
            </w:r>
          </w:p>
        </w:tc>
        <w:tc>
          <w:tcPr>
            <w:tcW w:w="231" w:type="pct"/>
            <w:shd w:val="clear" w:color="auto" w:fill="auto"/>
            <w:vAlign w:val="center"/>
          </w:tcPr>
          <w:p w14:paraId="482533EA">
            <w:pPr>
              <w:pStyle w:val="11"/>
              <w:jc w:val="center"/>
              <w:rPr>
                <w:rFonts w:hint="eastAsia" w:ascii="仿宋_GB2312" w:hAnsi="仿宋_GB2312" w:eastAsia="仿宋_GB2312" w:cs="仿宋_GB2312"/>
                <w:snapToGrid w:val="0"/>
                <w:color w:val="000000"/>
                <w:sz w:val="18"/>
                <w:szCs w:val="18"/>
                <w:highlight w:val="none"/>
                <w:lang w:val="en-US" w:eastAsia="en-US" w:bidi="ar-SA"/>
              </w:rPr>
            </w:pPr>
            <w:r>
              <w:rPr>
                <w:rFonts w:hint="eastAsia" w:ascii="仿宋_GB2312" w:hAnsi="仿宋_GB2312" w:eastAsia="仿宋_GB2312" w:cs="仿宋_GB2312"/>
                <w:sz w:val="18"/>
                <w:szCs w:val="18"/>
                <w:highlight w:val="none"/>
              </w:rPr>
              <w:t>100%</w:t>
            </w:r>
          </w:p>
        </w:tc>
        <w:tc>
          <w:tcPr>
            <w:tcW w:w="151" w:type="pct"/>
            <w:shd w:val="clear" w:color="auto" w:fill="auto"/>
            <w:vAlign w:val="center"/>
          </w:tcPr>
          <w:p w14:paraId="193069A0">
            <w:pPr>
              <w:pStyle w:val="11"/>
              <w:jc w:val="center"/>
              <w:rPr>
                <w:rFonts w:hint="eastAsia" w:ascii="仿宋_GB2312" w:hAnsi="仿宋_GB2312" w:eastAsia="仿宋_GB2312" w:cs="仿宋_GB2312"/>
                <w:snapToGrid w:val="0"/>
                <w:color w:val="000000"/>
                <w:sz w:val="18"/>
                <w:szCs w:val="18"/>
                <w:highlight w:val="none"/>
                <w:lang w:val="en-US" w:eastAsia="en-US" w:bidi="ar-SA"/>
              </w:rPr>
            </w:pPr>
            <w:r>
              <w:rPr>
                <w:rFonts w:hint="eastAsia" w:ascii="仿宋_GB2312" w:hAnsi="仿宋_GB2312" w:eastAsia="仿宋_GB2312" w:cs="仿宋_GB2312"/>
                <w:sz w:val="18"/>
                <w:szCs w:val="18"/>
                <w:highlight w:val="none"/>
              </w:rPr>
              <w:t>1</w:t>
            </w:r>
          </w:p>
        </w:tc>
        <w:tc>
          <w:tcPr>
            <w:tcW w:w="698" w:type="pct"/>
            <w:shd w:val="clear" w:color="auto" w:fill="auto"/>
            <w:vAlign w:val="center"/>
          </w:tcPr>
          <w:p w14:paraId="36645BD8">
            <w:pPr>
              <w:pStyle w:val="11"/>
              <w:rPr>
                <w:rFonts w:hint="eastAsia" w:ascii="仿宋_GB2312" w:hAnsi="仿宋_GB2312" w:eastAsia="仿宋_GB2312" w:cs="仿宋_GB2312"/>
                <w:snapToGrid w:val="0"/>
                <w:color w:val="000000"/>
                <w:sz w:val="18"/>
                <w:szCs w:val="18"/>
                <w:highlight w:val="none"/>
                <w:lang w:val="en-US" w:eastAsia="zh-CN" w:bidi="ar-SA"/>
              </w:rPr>
            </w:pPr>
            <w:r>
              <w:rPr>
                <w:rFonts w:hint="eastAsia" w:ascii="仿宋_GB2312" w:hAnsi="仿宋_GB2312" w:eastAsia="仿宋_GB2312" w:cs="仿宋_GB2312"/>
                <w:sz w:val="18"/>
                <w:szCs w:val="18"/>
                <w:highlight w:val="none"/>
                <w:lang w:eastAsia="zh-CN"/>
              </w:rPr>
              <w:t>部门是否将所有资金纳入全过程预算绩效管理，用以反映和考核部门全面实施预算绩效管理。</w:t>
            </w:r>
          </w:p>
        </w:tc>
        <w:tc>
          <w:tcPr>
            <w:tcW w:w="1608" w:type="pct"/>
            <w:shd w:val="clear" w:color="auto" w:fill="auto"/>
            <w:vAlign w:val="center"/>
          </w:tcPr>
          <w:p w14:paraId="12D3A375">
            <w:pPr>
              <w:pStyle w:val="11"/>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绩效管理覆盖率=(纳入绩效管理预算数/部门整体预算总额)×100%。</w:t>
            </w:r>
          </w:p>
          <w:p w14:paraId="452291C2">
            <w:pPr>
              <w:pStyle w:val="11"/>
              <w:rPr>
                <w:rFonts w:hint="eastAsia" w:ascii="仿宋_GB2312" w:hAnsi="仿宋_GB2312" w:eastAsia="仿宋_GB2312" w:cs="仿宋_GB2312"/>
                <w:snapToGrid w:val="0"/>
                <w:color w:val="000000"/>
                <w:sz w:val="18"/>
                <w:szCs w:val="18"/>
                <w:highlight w:val="none"/>
                <w:lang w:val="en-US" w:eastAsia="zh-CN" w:bidi="ar-SA"/>
              </w:rPr>
            </w:pPr>
            <w:r>
              <w:rPr>
                <w:rFonts w:hint="eastAsia" w:ascii="仿宋_GB2312" w:hAnsi="仿宋_GB2312" w:eastAsia="仿宋_GB2312" w:cs="仿宋_GB2312"/>
                <w:sz w:val="18"/>
                <w:szCs w:val="18"/>
                <w:highlight w:val="none"/>
                <w:lang w:eastAsia="zh-CN"/>
              </w:rPr>
              <w:t>评分规则：得分=绩效管理覆盖率×分值。</w:t>
            </w:r>
          </w:p>
        </w:tc>
        <w:tc>
          <w:tcPr>
            <w:tcW w:w="1240" w:type="pct"/>
            <w:shd w:val="clear" w:color="auto" w:fill="auto"/>
            <w:vAlign w:val="center"/>
          </w:tcPr>
          <w:p w14:paraId="3180ACAF">
            <w:pPr>
              <w:pStyle w:val="11"/>
              <w:rPr>
                <w:rFonts w:hint="eastAsia" w:ascii="仿宋_GB2312" w:hAnsi="仿宋_GB2312" w:eastAsia="仿宋_GB2312" w:cs="仿宋_GB2312"/>
                <w:snapToGrid w:val="0"/>
                <w:color w:val="000000"/>
                <w:sz w:val="18"/>
                <w:szCs w:val="18"/>
                <w:highlight w:val="none"/>
                <w:lang w:val="en-US" w:eastAsia="zh-CN" w:bidi="ar-SA"/>
              </w:rPr>
            </w:pPr>
            <w:r>
              <w:rPr>
                <w:rFonts w:hint="eastAsia" w:ascii="仿宋_GB2312" w:hAnsi="仿宋_GB2312" w:eastAsia="仿宋_GB2312" w:cs="仿宋_GB2312"/>
                <w:sz w:val="18"/>
                <w:szCs w:val="18"/>
                <w:highlight w:val="none"/>
                <w:lang w:eastAsia="zh-CN"/>
              </w:rPr>
              <w:t>绩效管理覆盖率=(纳入绩效管理预算数</w:t>
            </w:r>
            <w:r>
              <w:rPr>
                <w:rFonts w:hint="eastAsia" w:ascii="仿宋_GB2312" w:hAnsi="仿宋_GB2312" w:eastAsia="仿宋_GB2312" w:cs="仿宋_GB2312"/>
                <w:sz w:val="18"/>
                <w:szCs w:val="18"/>
                <w:highlight w:val="none"/>
                <w:lang w:val="en-US" w:eastAsia="zh-CN"/>
              </w:rPr>
              <w:t>2465.68</w:t>
            </w:r>
            <w:r>
              <w:rPr>
                <w:rFonts w:hint="eastAsia" w:ascii="仿宋_GB2312" w:hAnsi="仿宋_GB2312" w:eastAsia="仿宋_GB2312" w:cs="仿宋_GB2312"/>
                <w:sz w:val="18"/>
                <w:szCs w:val="18"/>
                <w:highlight w:val="none"/>
                <w:lang w:eastAsia="zh-CN"/>
              </w:rPr>
              <w:t>万元/部门整体预算总额</w:t>
            </w:r>
            <w:r>
              <w:rPr>
                <w:rFonts w:hint="eastAsia" w:ascii="仿宋_GB2312" w:hAnsi="仿宋_GB2312" w:eastAsia="仿宋_GB2312" w:cs="仿宋_GB2312"/>
                <w:sz w:val="18"/>
                <w:szCs w:val="18"/>
                <w:highlight w:val="none"/>
                <w:lang w:val="en-US" w:eastAsia="zh-CN"/>
              </w:rPr>
              <w:t>2465.68</w:t>
            </w:r>
            <w:r>
              <w:rPr>
                <w:rFonts w:hint="eastAsia" w:ascii="仿宋_GB2312" w:hAnsi="仿宋_GB2312" w:eastAsia="仿宋_GB2312" w:cs="仿宋_GB2312"/>
                <w:sz w:val="18"/>
                <w:szCs w:val="18"/>
                <w:highlight w:val="none"/>
                <w:lang w:eastAsia="zh-CN"/>
              </w:rPr>
              <w:t>万元)×100%=100%。</w:t>
            </w:r>
          </w:p>
        </w:tc>
        <w:tc>
          <w:tcPr>
            <w:tcW w:w="233" w:type="pct"/>
            <w:shd w:val="clear" w:color="auto" w:fill="auto"/>
            <w:vAlign w:val="center"/>
          </w:tcPr>
          <w:p w14:paraId="42FBB63A">
            <w:pPr>
              <w:pStyle w:val="11"/>
              <w:jc w:val="center"/>
              <w:rPr>
                <w:rFonts w:hint="eastAsia" w:ascii="仿宋_GB2312" w:hAnsi="仿宋_GB2312" w:eastAsia="仿宋_GB2312" w:cs="仿宋_GB2312"/>
                <w:snapToGrid w:val="0"/>
                <w:color w:val="000000"/>
                <w:sz w:val="18"/>
                <w:szCs w:val="18"/>
                <w:highlight w:val="none"/>
                <w:lang w:val="en-US" w:eastAsia="zh-CN" w:bidi="ar-SA"/>
              </w:rPr>
            </w:pPr>
            <w:r>
              <w:rPr>
                <w:rFonts w:hint="eastAsia" w:ascii="仿宋_GB2312" w:hAnsi="仿宋_GB2312" w:eastAsia="仿宋_GB2312" w:cs="仿宋_GB2312"/>
                <w:sz w:val="18"/>
                <w:szCs w:val="18"/>
                <w:highlight w:val="none"/>
              </w:rPr>
              <w:t>1</w:t>
            </w:r>
          </w:p>
        </w:tc>
      </w:tr>
      <w:tr w14:paraId="7B2245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2" w:hRule="atLeast"/>
          <w:jc w:val="center"/>
        </w:trPr>
        <w:tc>
          <w:tcPr>
            <w:tcW w:w="254" w:type="pct"/>
            <w:vMerge w:val="continue"/>
            <w:vAlign w:val="center"/>
          </w:tcPr>
          <w:p w14:paraId="4E5E00E6">
            <w:pPr>
              <w:pStyle w:val="11"/>
              <w:jc w:val="center"/>
              <w:rPr>
                <w:rFonts w:hint="eastAsia" w:ascii="仿宋_GB2312" w:hAnsi="仿宋_GB2312" w:eastAsia="仿宋_GB2312" w:cs="仿宋_GB2312"/>
                <w:sz w:val="18"/>
                <w:szCs w:val="18"/>
                <w:highlight w:val="none"/>
              </w:rPr>
            </w:pPr>
          </w:p>
        </w:tc>
        <w:tc>
          <w:tcPr>
            <w:tcW w:w="297" w:type="pct"/>
            <w:vMerge w:val="continue"/>
            <w:tcBorders>
              <w:top w:val="single" w:color="auto" w:sz="4" w:space="0"/>
              <w:left w:val="single" w:color="auto" w:sz="4" w:space="0"/>
              <w:bottom w:val="single" w:color="auto" w:sz="4" w:space="0"/>
              <w:right w:val="single" w:color="auto" w:sz="4" w:space="0"/>
            </w:tcBorders>
            <w:vAlign w:val="center"/>
          </w:tcPr>
          <w:p w14:paraId="53C35439">
            <w:pPr>
              <w:pStyle w:val="11"/>
              <w:jc w:val="center"/>
              <w:rPr>
                <w:rFonts w:hint="eastAsia" w:ascii="仿宋_GB2312" w:hAnsi="仿宋_GB2312" w:eastAsia="仿宋_GB2312" w:cs="仿宋_GB2312"/>
                <w:sz w:val="18"/>
                <w:szCs w:val="18"/>
                <w:highlight w:val="none"/>
              </w:rPr>
            </w:pPr>
          </w:p>
        </w:tc>
        <w:tc>
          <w:tcPr>
            <w:tcW w:w="284" w:type="pct"/>
            <w:tcBorders>
              <w:left w:val="single" w:color="auto" w:sz="4" w:space="0"/>
            </w:tcBorders>
            <w:shd w:val="clear" w:color="auto" w:fill="auto"/>
            <w:vAlign w:val="center"/>
          </w:tcPr>
          <w:p w14:paraId="1981BE34">
            <w:pPr>
              <w:pStyle w:val="11"/>
              <w:jc w:val="center"/>
              <w:rPr>
                <w:rFonts w:hint="eastAsia" w:ascii="仿宋_GB2312" w:hAnsi="仿宋_GB2312" w:eastAsia="仿宋_GB2312" w:cs="仿宋_GB2312"/>
                <w:sz w:val="18"/>
                <w:szCs w:val="18"/>
                <w:highlight w:val="none"/>
              </w:rPr>
            </w:pPr>
            <w:r>
              <w:rPr>
                <w:rFonts w:hint="eastAsia" w:ascii="仿宋_GB2312" w:hAnsi="仿宋_GB2312" w:eastAsia="仿宋_GB2312" w:cs="仿宋_GB2312"/>
                <w:sz w:val="18"/>
                <w:szCs w:val="18"/>
                <w:highlight w:val="none"/>
              </w:rPr>
              <w:t>B24</w:t>
            </w:r>
          </w:p>
          <w:p w14:paraId="5F72FF03">
            <w:pPr>
              <w:pStyle w:val="11"/>
              <w:jc w:val="center"/>
              <w:rPr>
                <w:rFonts w:hint="eastAsia" w:ascii="仿宋_GB2312" w:hAnsi="仿宋_GB2312" w:eastAsia="仿宋_GB2312" w:cs="仿宋_GB2312"/>
                <w:snapToGrid w:val="0"/>
                <w:color w:val="000000"/>
                <w:sz w:val="18"/>
                <w:szCs w:val="18"/>
                <w:highlight w:val="none"/>
                <w:lang w:val="en-US" w:eastAsia="en-US" w:bidi="ar-SA"/>
              </w:rPr>
            </w:pPr>
            <w:r>
              <w:rPr>
                <w:rFonts w:hint="eastAsia" w:ascii="仿宋_GB2312" w:hAnsi="仿宋_GB2312" w:eastAsia="仿宋_GB2312" w:cs="仿宋_GB2312"/>
                <w:sz w:val="18"/>
                <w:szCs w:val="18"/>
                <w:highlight w:val="none"/>
              </w:rPr>
              <w:t>基础信息完善性</w:t>
            </w:r>
          </w:p>
        </w:tc>
        <w:tc>
          <w:tcPr>
            <w:tcW w:w="231" w:type="pct"/>
            <w:shd w:val="clear" w:color="auto" w:fill="auto"/>
            <w:vAlign w:val="center"/>
          </w:tcPr>
          <w:p w14:paraId="458D6A09">
            <w:pPr>
              <w:pStyle w:val="11"/>
              <w:jc w:val="center"/>
              <w:rPr>
                <w:rFonts w:hint="eastAsia" w:ascii="仿宋_GB2312" w:hAnsi="仿宋_GB2312" w:eastAsia="仿宋_GB2312" w:cs="仿宋_GB2312"/>
                <w:snapToGrid w:val="0"/>
                <w:color w:val="000000"/>
                <w:sz w:val="18"/>
                <w:szCs w:val="18"/>
                <w:highlight w:val="none"/>
                <w:lang w:val="en-US" w:eastAsia="en-US" w:bidi="ar-SA"/>
              </w:rPr>
            </w:pPr>
            <w:r>
              <w:rPr>
                <w:rFonts w:hint="eastAsia" w:ascii="仿宋_GB2312" w:hAnsi="仿宋_GB2312" w:eastAsia="仿宋_GB2312" w:cs="仿宋_GB2312"/>
                <w:sz w:val="18"/>
                <w:szCs w:val="18"/>
                <w:highlight w:val="none"/>
              </w:rPr>
              <w:t>完善</w:t>
            </w:r>
          </w:p>
        </w:tc>
        <w:tc>
          <w:tcPr>
            <w:tcW w:w="151" w:type="pct"/>
            <w:shd w:val="clear" w:color="auto" w:fill="auto"/>
            <w:vAlign w:val="center"/>
          </w:tcPr>
          <w:p w14:paraId="5841093C">
            <w:pPr>
              <w:pStyle w:val="11"/>
              <w:jc w:val="center"/>
              <w:rPr>
                <w:rFonts w:hint="eastAsia" w:ascii="仿宋_GB2312" w:hAnsi="仿宋_GB2312" w:eastAsia="仿宋_GB2312" w:cs="仿宋_GB2312"/>
                <w:snapToGrid w:val="0"/>
                <w:color w:val="000000"/>
                <w:sz w:val="18"/>
                <w:szCs w:val="18"/>
                <w:highlight w:val="none"/>
                <w:lang w:val="en-US" w:eastAsia="en-US" w:bidi="ar-SA"/>
              </w:rPr>
            </w:pPr>
            <w:r>
              <w:rPr>
                <w:rFonts w:hint="eastAsia" w:ascii="仿宋_GB2312" w:hAnsi="仿宋_GB2312" w:eastAsia="仿宋_GB2312" w:cs="仿宋_GB2312"/>
                <w:sz w:val="18"/>
                <w:szCs w:val="18"/>
                <w:highlight w:val="none"/>
              </w:rPr>
              <w:t>1</w:t>
            </w:r>
          </w:p>
        </w:tc>
        <w:tc>
          <w:tcPr>
            <w:tcW w:w="698" w:type="pct"/>
            <w:shd w:val="clear" w:color="auto" w:fill="auto"/>
            <w:vAlign w:val="center"/>
          </w:tcPr>
          <w:p w14:paraId="4789E4C6">
            <w:pPr>
              <w:pStyle w:val="11"/>
              <w:rPr>
                <w:rFonts w:hint="eastAsia" w:ascii="仿宋_GB2312" w:hAnsi="仿宋_GB2312" w:eastAsia="仿宋_GB2312" w:cs="仿宋_GB2312"/>
                <w:snapToGrid w:val="0"/>
                <w:color w:val="000000"/>
                <w:sz w:val="18"/>
                <w:szCs w:val="18"/>
                <w:highlight w:val="none"/>
                <w:lang w:val="en-US" w:eastAsia="zh-CN" w:bidi="ar-SA"/>
              </w:rPr>
            </w:pPr>
            <w:r>
              <w:rPr>
                <w:rFonts w:hint="eastAsia" w:ascii="仿宋_GB2312" w:hAnsi="仿宋_GB2312" w:eastAsia="仿宋_GB2312" w:cs="仿宋_GB2312"/>
                <w:sz w:val="18"/>
                <w:szCs w:val="18"/>
                <w:highlight w:val="none"/>
                <w:lang w:eastAsia="zh-CN"/>
              </w:rPr>
              <w:t>部门预算编制基础信息是否完善，用以反映和考核基础信息对预算管理工作的支撑情况。</w:t>
            </w:r>
          </w:p>
        </w:tc>
        <w:tc>
          <w:tcPr>
            <w:tcW w:w="1608" w:type="pct"/>
            <w:shd w:val="clear" w:color="auto" w:fill="auto"/>
            <w:vAlign w:val="center"/>
          </w:tcPr>
          <w:p w14:paraId="46C65177">
            <w:pPr>
              <w:pStyle w:val="11"/>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评价要点：</w:t>
            </w:r>
          </w:p>
          <w:p w14:paraId="0ED5DC2A">
            <w:pPr>
              <w:pStyle w:val="11"/>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1.基本财务管理制度健全；</w:t>
            </w:r>
          </w:p>
          <w:p w14:paraId="2BE85651">
            <w:pPr>
              <w:pStyle w:val="11"/>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2.基础数据信息和会计信息资料是否真实、完整、准确。</w:t>
            </w:r>
          </w:p>
          <w:p w14:paraId="3D6FB002">
            <w:pPr>
              <w:pStyle w:val="11"/>
              <w:rPr>
                <w:rFonts w:hint="eastAsia" w:ascii="仿宋_GB2312" w:hAnsi="仿宋_GB2312" w:eastAsia="仿宋_GB2312" w:cs="仿宋_GB2312"/>
                <w:snapToGrid w:val="0"/>
                <w:color w:val="000000"/>
                <w:sz w:val="18"/>
                <w:szCs w:val="18"/>
                <w:highlight w:val="none"/>
                <w:lang w:val="en-US" w:eastAsia="zh-CN" w:bidi="ar-SA"/>
              </w:rPr>
            </w:pPr>
            <w:r>
              <w:rPr>
                <w:rFonts w:hint="eastAsia" w:ascii="仿宋_GB2312" w:hAnsi="仿宋_GB2312" w:eastAsia="仿宋_GB2312" w:cs="仿宋_GB2312"/>
                <w:sz w:val="18"/>
                <w:szCs w:val="18"/>
                <w:highlight w:val="none"/>
                <w:lang w:eastAsia="zh-CN"/>
              </w:rPr>
              <w:t>评分规则：以上评价要点各占1/2分值，每个要点执行情况分为达成、部分达成、未达成三档，分别按分值的100%-80%(含)、80%-60%(含)、60%-0%合理确定分值。</w:t>
            </w:r>
          </w:p>
        </w:tc>
        <w:tc>
          <w:tcPr>
            <w:tcW w:w="1240" w:type="pct"/>
            <w:shd w:val="clear" w:color="auto" w:fill="auto"/>
            <w:vAlign w:val="center"/>
          </w:tcPr>
          <w:p w14:paraId="754CE043">
            <w:pPr>
              <w:pStyle w:val="11"/>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1.基本财务管理制度健全，达成；</w:t>
            </w:r>
          </w:p>
          <w:p w14:paraId="19AF859E">
            <w:pPr>
              <w:pStyle w:val="11"/>
              <w:rPr>
                <w:rFonts w:hint="eastAsia" w:ascii="仿宋_GB2312" w:hAnsi="仿宋_GB2312" w:eastAsia="仿宋_GB2312" w:cs="仿宋_GB2312"/>
                <w:snapToGrid w:val="0"/>
                <w:color w:val="000000"/>
                <w:sz w:val="18"/>
                <w:szCs w:val="18"/>
                <w:highlight w:val="none"/>
                <w:lang w:val="en-US" w:eastAsia="zh-CN" w:bidi="ar-SA"/>
              </w:rPr>
            </w:pPr>
            <w:r>
              <w:rPr>
                <w:rFonts w:hint="eastAsia" w:ascii="仿宋_GB2312" w:hAnsi="仿宋_GB2312" w:eastAsia="仿宋_GB2312" w:cs="仿宋_GB2312"/>
                <w:sz w:val="18"/>
                <w:szCs w:val="18"/>
                <w:highlight w:val="none"/>
                <w:lang w:eastAsia="zh-CN"/>
              </w:rPr>
              <w:t>2.基础数据信息和会计信息资料完整，达成。</w:t>
            </w:r>
          </w:p>
        </w:tc>
        <w:tc>
          <w:tcPr>
            <w:tcW w:w="233" w:type="pct"/>
            <w:shd w:val="clear" w:color="auto" w:fill="auto"/>
            <w:vAlign w:val="center"/>
          </w:tcPr>
          <w:p w14:paraId="3075D33C">
            <w:pPr>
              <w:pStyle w:val="11"/>
              <w:jc w:val="center"/>
              <w:rPr>
                <w:rFonts w:hint="eastAsia" w:ascii="仿宋_GB2312" w:hAnsi="仿宋_GB2312" w:eastAsia="仿宋_GB2312" w:cs="仿宋_GB2312"/>
                <w:snapToGrid w:val="0"/>
                <w:color w:val="000000"/>
                <w:sz w:val="18"/>
                <w:szCs w:val="18"/>
                <w:highlight w:val="none"/>
                <w:lang w:val="en-US" w:eastAsia="zh-CN" w:bidi="ar-SA"/>
              </w:rPr>
            </w:pPr>
            <w:r>
              <w:rPr>
                <w:rFonts w:hint="eastAsia" w:ascii="仿宋_GB2312" w:hAnsi="仿宋_GB2312" w:eastAsia="仿宋_GB2312" w:cs="仿宋_GB2312"/>
                <w:sz w:val="18"/>
                <w:szCs w:val="18"/>
                <w:highlight w:val="none"/>
                <w:lang w:eastAsia="zh-CN"/>
              </w:rPr>
              <w:t>1</w:t>
            </w:r>
          </w:p>
        </w:tc>
      </w:tr>
      <w:tr w14:paraId="15F57D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2" w:hRule="atLeast"/>
          <w:jc w:val="center"/>
        </w:trPr>
        <w:tc>
          <w:tcPr>
            <w:tcW w:w="254" w:type="pct"/>
            <w:vMerge w:val="continue"/>
            <w:vAlign w:val="center"/>
          </w:tcPr>
          <w:p w14:paraId="29E4C4C8">
            <w:pPr>
              <w:pStyle w:val="11"/>
              <w:jc w:val="center"/>
              <w:rPr>
                <w:rFonts w:hint="eastAsia" w:ascii="仿宋_GB2312" w:hAnsi="仿宋_GB2312" w:eastAsia="仿宋_GB2312" w:cs="仿宋_GB2312"/>
                <w:sz w:val="18"/>
                <w:szCs w:val="18"/>
                <w:highlight w:val="none"/>
              </w:rPr>
            </w:pPr>
          </w:p>
        </w:tc>
        <w:tc>
          <w:tcPr>
            <w:tcW w:w="297" w:type="pct"/>
            <w:vMerge w:val="continue"/>
            <w:tcBorders>
              <w:top w:val="single" w:color="auto" w:sz="4" w:space="0"/>
              <w:left w:val="single" w:color="auto" w:sz="4" w:space="0"/>
              <w:bottom w:val="single" w:color="auto" w:sz="4" w:space="0"/>
              <w:right w:val="single" w:color="auto" w:sz="4" w:space="0"/>
            </w:tcBorders>
            <w:vAlign w:val="center"/>
          </w:tcPr>
          <w:p w14:paraId="69B2167B">
            <w:pPr>
              <w:pStyle w:val="11"/>
              <w:jc w:val="center"/>
              <w:rPr>
                <w:rFonts w:hint="eastAsia" w:ascii="仿宋_GB2312" w:hAnsi="仿宋_GB2312" w:eastAsia="仿宋_GB2312" w:cs="仿宋_GB2312"/>
                <w:sz w:val="18"/>
                <w:szCs w:val="18"/>
                <w:highlight w:val="none"/>
              </w:rPr>
            </w:pPr>
          </w:p>
        </w:tc>
        <w:tc>
          <w:tcPr>
            <w:tcW w:w="284" w:type="pct"/>
            <w:tcBorders>
              <w:left w:val="single" w:color="auto" w:sz="4" w:space="0"/>
            </w:tcBorders>
            <w:shd w:val="clear" w:color="auto" w:fill="auto"/>
            <w:vAlign w:val="center"/>
          </w:tcPr>
          <w:p w14:paraId="6AFEB624">
            <w:pPr>
              <w:pStyle w:val="11"/>
              <w:jc w:val="center"/>
              <w:rPr>
                <w:rFonts w:hint="eastAsia" w:ascii="仿宋_GB2312" w:hAnsi="仿宋_GB2312" w:eastAsia="仿宋_GB2312" w:cs="仿宋_GB2312"/>
                <w:sz w:val="18"/>
                <w:szCs w:val="18"/>
                <w:highlight w:val="none"/>
              </w:rPr>
            </w:pPr>
            <w:r>
              <w:rPr>
                <w:rFonts w:hint="eastAsia" w:ascii="仿宋_GB2312" w:hAnsi="仿宋_GB2312" w:eastAsia="仿宋_GB2312" w:cs="仿宋_GB2312"/>
                <w:sz w:val="18"/>
                <w:szCs w:val="18"/>
                <w:highlight w:val="none"/>
              </w:rPr>
              <w:t>B25</w:t>
            </w:r>
          </w:p>
          <w:p w14:paraId="7A6CB1C5">
            <w:pPr>
              <w:pStyle w:val="11"/>
              <w:jc w:val="center"/>
              <w:rPr>
                <w:rFonts w:hint="eastAsia" w:ascii="仿宋_GB2312" w:hAnsi="仿宋_GB2312" w:eastAsia="仿宋_GB2312" w:cs="仿宋_GB2312"/>
                <w:snapToGrid w:val="0"/>
                <w:color w:val="000000"/>
                <w:sz w:val="18"/>
                <w:szCs w:val="18"/>
                <w:highlight w:val="none"/>
                <w:lang w:val="en-US" w:eastAsia="en-US" w:bidi="ar-SA"/>
              </w:rPr>
            </w:pPr>
            <w:r>
              <w:rPr>
                <w:rFonts w:hint="eastAsia" w:ascii="仿宋_GB2312" w:hAnsi="仿宋_GB2312" w:eastAsia="仿宋_GB2312" w:cs="仿宋_GB2312"/>
                <w:sz w:val="18"/>
                <w:szCs w:val="18"/>
                <w:highlight w:val="none"/>
              </w:rPr>
              <w:t>预决算信息公开度</w:t>
            </w:r>
          </w:p>
        </w:tc>
        <w:tc>
          <w:tcPr>
            <w:tcW w:w="231" w:type="pct"/>
            <w:shd w:val="clear" w:color="auto" w:fill="auto"/>
            <w:vAlign w:val="center"/>
          </w:tcPr>
          <w:p w14:paraId="2F73C3A1">
            <w:pPr>
              <w:pStyle w:val="11"/>
              <w:jc w:val="center"/>
              <w:rPr>
                <w:rFonts w:hint="eastAsia" w:ascii="仿宋_GB2312" w:hAnsi="仿宋_GB2312" w:eastAsia="仿宋_GB2312" w:cs="仿宋_GB2312"/>
                <w:snapToGrid w:val="0"/>
                <w:color w:val="000000"/>
                <w:sz w:val="18"/>
                <w:szCs w:val="18"/>
                <w:highlight w:val="none"/>
                <w:lang w:val="en-US" w:eastAsia="en-US" w:bidi="ar-SA"/>
              </w:rPr>
            </w:pPr>
            <w:r>
              <w:rPr>
                <w:rFonts w:hint="eastAsia" w:ascii="仿宋_GB2312" w:hAnsi="仿宋_GB2312" w:eastAsia="仿宋_GB2312" w:cs="仿宋_GB2312"/>
                <w:sz w:val="18"/>
                <w:szCs w:val="18"/>
                <w:highlight w:val="none"/>
              </w:rPr>
              <w:t>公开</w:t>
            </w:r>
          </w:p>
        </w:tc>
        <w:tc>
          <w:tcPr>
            <w:tcW w:w="151" w:type="pct"/>
            <w:shd w:val="clear" w:color="auto" w:fill="auto"/>
            <w:vAlign w:val="center"/>
          </w:tcPr>
          <w:p w14:paraId="5CDB8C00">
            <w:pPr>
              <w:pStyle w:val="11"/>
              <w:jc w:val="center"/>
              <w:rPr>
                <w:rFonts w:hint="eastAsia" w:ascii="仿宋_GB2312" w:hAnsi="仿宋_GB2312" w:eastAsia="仿宋_GB2312" w:cs="仿宋_GB2312"/>
                <w:snapToGrid w:val="0"/>
                <w:color w:val="000000"/>
                <w:sz w:val="18"/>
                <w:szCs w:val="18"/>
                <w:highlight w:val="none"/>
                <w:lang w:val="en-US" w:eastAsia="en-US" w:bidi="ar-SA"/>
              </w:rPr>
            </w:pPr>
            <w:r>
              <w:rPr>
                <w:rFonts w:hint="eastAsia" w:ascii="仿宋_GB2312" w:hAnsi="仿宋_GB2312" w:eastAsia="仿宋_GB2312" w:cs="仿宋_GB2312"/>
                <w:sz w:val="18"/>
                <w:szCs w:val="18"/>
                <w:highlight w:val="none"/>
              </w:rPr>
              <w:t>1</w:t>
            </w:r>
          </w:p>
        </w:tc>
        <w:tc>
          <w:tcPr>
            <w:tcW w:w="698" w:type="pct"/>
            <w:shd w:val="clear" w:color="auto" w:fill="auto"/>
            <w:vAlign w:val="center"/>
          </w:tcPr>
          <w:p w14:paraId="77C1BA6F">
            <w:pPr>
              <w:pStyle w:val="11"/>
              <w:rPr>
                <w:rFonts w:hint="eastAsia" w:ascii="仿宋_GB2312" w:hAnsi="仿宋_GB2312" w:eastAsia="仿宋_GB2312" w:cs="仿宋_GB2312"/>
                <w:snapToGrid w:val="0"/>
                <w:color w:val="000000"/>
                <w:sz w:val="18"/>
                <w:szCs w:val="18"/>
                <w:highlight w:val="none"/>
                <w:lang w:val="en-US" w:eastAsia="zh-CN" w:bidi="ar-SA"/>
              </w:rPr>
            </w:pPr>
            <w:r>
              <w:rPr>
                <w:rFonts w:hint="eastAsia" w:ascii="仿宋_GB2312" w:hAnsi="仿宋_GB2312" w:eastAsia="仿宋_GB2312" w:cs="仿宋_GB2312"/>
                <w:sz w:val="18"/>
                <w:szCs w:val="18"/>
                <w:highlight w:val="none"/>
                <w:lang w:eastAsia="zh-CN"/>
              </w:rPr>
              <w:t>部门是否按照政府信息公开有关规定公开相关预决算信息，用以反映和考核部门预决算管理的公开透明情况。</w:t>
            </w:r>
          </w:p>
        </w:tc>
        <w:tc>
          <w:tcPr>
            <w:tcW w:w="1608" w:type="pct"/>
            <w:shd w:val="clear" w:color="auto" w:fill="auto"/>
            <w:vAlign w:val="center"/>
          </w:tcPr>
          <w:p w14:paraId="56B5B75B">
            <w:pPr>
              <w:pStyle w:val="11"/>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评价要点：</w:t>
            </w:r>
          </w:p>
          <w:p w14:paraId="1B5DE5A0">
            <w:pPr>
              <w:pStyle w:val="11"/>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1.是否按规定内容公开预决算信息；</w:t>
            </w:r>
          </w:p>
          <w:p w14:paraId="608F988C">
            <w:pPr>
              <w:pStyle w:val="11"/>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2.是否按规定时限公开预决算信息。</w:t>
            </w:r>
          </w:p>
          <w:p w14:paraId="009F79E2">
            <w:pPr>
              <w:pStyle w:val="11"/>
              <w:rPr>
                <w:rFonts w:hint="eastAsia" w:ascii="仿宋_GB2312" w:hAnsi="仿宋_GB2312" w:eastAsia="仿宋_GB2312" w:cs="仿宋_GB2312"/>
                <w:snapToGrid w:val="0"/>
                <w:color w:val="000000"/>
                <w:sz w:val="18"/>
                <w:szCs w:val="18"/>
                <w:highlight w:val="none"/>
                <w:lang w:val="en-US" w:eastAsia="zh-CN" w:bidi="ar-SA"/>
              </w:rPr>
            </w:pPr>
            <w:r>
              <w:rPr>
                <w:rFonts w:hint="eastAsia" w:ascii="仿宋_GB2312" w:hAnsi="仿宋_GB2312" w:eastAsia="仿宋_GB2312" w:cs="仿宋_GB2312"/>
                <w:sz w:val="18"/>
                <w:szCs w:val="18"/>
                <w:highlight w:val="none"/>
                <w:lang w:eastAsia="zh-CN"/>
              </w:rPr>
              <w:t>评分规则：以上评价要点各占1/2分值，每个要点执行情况分为达成、部分达成、未达成三档，分别按分值的100%-80%(含)、80%-60%(含)、60%-0%合理确定分值。</w:t>
            </w:r>
          </w:p>
        </w:tc>
        <w:tc>
          <w:tcPr>
            <w:tcW w:w="1240" w:type="pct"/>
            <w:shd w:val="clear" w:color="auto" w:fill="auto"/>
            <w:vAlign w:val="center"/>
          </w:tcPr>
          <w:p w14:paraId="2AA49486">
            <w:pPr>
              <w:pStyle w:val="11"/>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1.按规定内容公开预决算信息，达成；</w:t>
            </w:r>
          </w:p>
          <w:p w14:paraId="31F90B68">
            <w:pPr>
              <w:pStyle w:val="11"/>
              <w:rPr>
                <w:rFonts w:hint="eastAsia" w:ascii="仿宋_GB2312" w:hAnsi="仿宋_GB2312" w:eastAsia="仿宋_GB2312" w:cs="仿宋_GB2312"/>
                <w:snapToGrid w:val="0"/>
                <w:color w:val="000000"/>
                <w:sz w:val="18"/>
                <w:szCs w:val="18"/>
                <w:highlight w:val="none"/>
                <w:lang w:val="en-US" w:eastAsia="zh-CN" w:bidi="ar-SA"/>
              </w:rPr>
            </w:pPr>
            <w:r>
              <w:rPr>
                <w:rFonts w:hint="eastAsia" w:ascii="仿宋_GB2312" w:hAnsi="仿宋_GB2312" w:eastAsia="仿宋_GB2312" w:cs="仿宋_GB2312"/>
                <w:sz w:val="18"/>
                <w:szCs w:val="18"/>
                <w:highlight w:val="none"/>
                <w:lang w:eastAsia="zh-CN"/>
              </w:rPr>
              <w:t>2.按规定时限公开预决算信息，达成。</w:t>
            </w:r>
          </w:p>
        </w:tc>
        <w:tc>
          <w:tcPr>
            <w:tcW w:w="233" w:type="pct"/>
            <w:shd w:val="clear" w:color="auto" w:fill="auto"/>
            <w:vAlign w:val="center"/>
          </w:tcPr>
          <w:p w14:paraId="11293ADA">
            <w:pPr>
              <w:pStyle w:val="11"/>
              <w:jc w:val="center"/>
              <w:rPr>
                <w:rFonts w:hint="eastAsia" w:ascii="仿宋_GB2312" w:hAnsi="仿宋_GB2312" w:eastAsia="仿宋_GB2312" w:cs="仿宋_GB2312"/>
                <w:snapToGrid w:val="0"/>
                <w:color w:val="000000"/>
                <w:sz w:val="18"/>
                <w:szCs w:val="18"/>
                <w:highlight w:val="none"/>
                <w:lang w:val="en-US" w:eastAsia="zh-CN" w:bidi="ar-SA"/>
              </w:rPr>
            </w:pPr>
            <w:r>
              <w:rPr>
                <w:rFonts w:hint="eastAsia" w:ascii="仿宋_GB2312" w:hAnsi="仿宋_GB2312" w:eastAsia="仿宋_GB2312" w:cs="仿宋_GB2312"/>
                <w:sz w:val="18"/>
                <w:szCs w:val="18"/>
                <w:highlight w:val="none"/>
              </w:rPr>
              <w:t>1</w:t>
            </w:r>
          </w:p>
        </w:tc>
      </w:tr>
      <w:tr w14:paraId="15319E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29" w:hRule="atLeast"/>
          <w:jc w:val="center"/>
        </w:trPr>
        <w:tc>
          <w:tcPr>
            <w:tcW w:w="254" w:type="pct"/>
            <w:vMerge w:val="continue"/>
            <w:vAlign w:val="center"/>
          </w:tcPr>
          <w:p w14:paraId="108C11FA">
            <w:pPr>
              <w:pStyle w:val="11"/>
              <w:jc w:val="center"/>
              <w:rPr>
                <w:rFonts w:hint="eastAsia" w:ascii="仿宋_GB2312" w:hAnsi="仿宋_GB2312" w:eastAsia="仿宋_GB2312" w:cs="仿宋_GB2312"/>
                <w:sz w:val="18"/>
                <w:szCs w:val="18"/>
                <w:highlight w:val="none"/>
              </w:rPr>
            </w:pPr>
          </w:p>
        </w:tc>
        <w:tc>
          <w:tcPr>
            <w:tcW w:w="297" w:type="pct"/>
            <w:vMerge w:val="continue"/>
            <w:tcBorders>
              <w:top w:val="single" w:color="auto" w:sz="4" w:space="0"/>
              <w:left w:val="single" w:color="auto" w:sz="4" w:space="0"/>
              <w:bottom w:val="single" w:color="auto" w:sz="4" w:space="0"/>
              <w:right w:val="single" w:color="auto" w:sz="4" w:space="0"/>
            </w:tcBorders>
            <w:vAlign w:val="center"/>
          </w:tcPr>
          <w:p w14:paraId="68234A01">
            <w:pPr>
              <w:pStyle w:val="11"/>
              <w:jc w:val="center"/>
              <w:rPr>
                <w:rFonts w:hint="eastAsia" w:ascii="仿宋_GB2312" w:hAnsi="仿宋_GB2312" w:eastAsia="仿宋_GB2312" w:cs="仿宋_GB2312"/>
                <w:sz w:val="18"/>
                <w:szCs w:val="18"/>
                <w:highlight w:val="none"/>
              </w:rPr>
            </w:pPr>
          </w:p>
        </w:tc>
        <w:tc>
          <w:tcPr>
            <w:tcW w:w="284" w:type="pct"/>
            <w:tcBorders>
              <w:left w:val="single" w:color="auto" w:sz="4" w:space="0"/>
            </w:tcBorders>
            <w:shd w:val="clear" w:color="auto" w:fill="auto"/>
            <w:vAlign w:val="center"/>
          </w:tcPr>
          <w:p w14:paraId="595BC77B">
            <w:pPr>
              <w:pStyle w:val="11"/>
              <w:jc w:val="center"/>
              <w:rPr>
                <w:rFonts w:hint="eastAsia" w:ascii="仿宋_GB2312" w:hAnsi="仿宋_GB2312" w:eastAsia="仿宋_GB2312" w:cs="仿宋_GB2312"/>
                <w:sz w:val="18"/>
                <w:szCs w:val="18"/>
                <w:highlight w:val="none"/>
              </w:rPr>
            </w:pPr>
            <w:r>
              <w:rPr>
                <w:rFonts w:hint="eastAsia" w:ascii="仿宋_GB2312" w:hAnsi="仿宋_GB2312" w:eastAsia="仿宋_GB2312" w:cs="仿宋_GB2312"/>
                <w:sz w:val="18"/>
                <w:szCs w:val="18"/>
                <w:highlight w:val="none"/>
                <w:lang w:eastAsia="zh-CN"/>
              </w:rPr>
              <w:t>B</w:t>
            </w:r>
            <w:r>
              <w:rPr>
                <w:rFonts w:hint="eastAsia" w:ascii="仿宋_GB2312" w:hAnsi="仿宋_GB2312" w:eastAsia="仿宋_GB2312" w:cs="仿宋_GB2312"/>
                <w:sz w:val="18"/>
                <w:szCs w:val="18"/>
                <w:highlight w:val="none"/>
              </w:rPr>
              <w:t>26</w:t>
            </w:r>
          </w:p>
          <w:p w14:paraId="17763C7F">
            <w:pPr>
              <w:pStyle w:val="11"/>
              <w:jc w:val="center"/>
              <w:rPr>
                <w:rFonts w:hint="eastAsia" w:ascii="仿宋_GB2312" w:hAnsi="仿宋_GB2312" w:eastAsia="仿宋_GB2312" w:cs="仿宋_GB2312"/>
                <w:sz w:val="18"/>
                <w:szCs w:val="18"/>
                <w:highlight w:val="none"/>
              </w:rPr>
            </w:pPr>
            <w:r>
              <w:rPr>
                <w:rFonts w:hint="eastAsia" w:ascii="仿宋_GB2312" w:hAnsi="仿宋_GB2312" w:eastAsia="仿宋_GB2312" w:cs="仿宋_GB2312"/>
                <w:sz w:val="18"/>
                <w:szCs w:val="18"/>
                <w:highlight w:val="none"/>
              </w:rPr>
              <w:t>非税收</w:t>
            </w:r>
            <w:r>
              <w:rPr>
                <w:rFonts w:hint="eastAsia" w:ascii="仿宋_GB2312" w:hAnsi="仿宋_GB2312" w:eastAsia="仿宋_GB2312" w:cs="仿宋_GB2312"/>
                <w:sz w:val="18"/>
                <w:szCs w:val="18"/>
                <w:highlight w:val="none"/>
                <w:lang w:eastAsia="zh-CN"/>
              </w:rPr>
              <w:t>入管</w:t>
            </w:r>
          </w:p>
          <w:p w14:paraId="118BDD98">
            <w:pPr>
              <w:pStyle w:val="11"/>
              <w:jc w:val="center"/>
              <w:rPr>
                <w:rFonts w:hint="eastAsia" w:ascii="仿宋_GB2312" w:hAnsi="仿宋_GB2312" w:eastAsia="仿宋_GB2312" w:cs="仿宋_GB2312"/>
                <w:snapToGrid w:val="0"/>
                <w:color w:val="000000"/>
                <w:sz w:val="18"/>
                <w:szCs w:val="18"/>
                <w:highlight w:val="none"/>
                <w:lang w:val="en-US" w:eastAsia="en-US" w:bidi="ar-SA"/>
              </w:rPr>
            </w:pPr>
            <w:r>
              <w:rPr>
                <w:rFonts w:hint="eastAsia" w:ascii="仿宋_GB2312" w:hAnsi="仿宋_GB2312" w:eastAsia="仿宋_GB2312" w:cs="仿宋_GB2312"/>
                <w:sz w:val="18"/>
                <w:szCs w:val="18"/>
                <w:highlight w:val="none"/>
              </w:rPr>
              <w:t>理合规性</w:t>
            </w:r>
          </w:p>
        </w:tc>
        <w:tc>
          <w:tcPr>
            <w:tcW w:w="231" w:type="pct"/>
            <w:shd w:val="clear" w:color="auto" w:fill="auto"/>
            <w:vAlign w:val="center"/>
          </w:tcPr>
          <w:p w14:paraId="547ECDD6">
            <w:pPr>
              <w:pStyle w:val="11"/>
              <w:jc w:val="center"/>
              <w:rPr>
                <w:rFonts w:hint="eastAsia" w:ascii="仿宋_GB2312" w:hAnsi="仿宋_GB2312" w:eastAsia="仿宋_GB2312" w:cs="仿宋_GB2312"/>
                <w:snapToGrid w:val="0"/>
                <w:color w:val="000000"/>
                <w:sz w:val="18"/>
                <w:szCs w:val="18"/>
                <w:highlight w:val="none"/>
                <w:lang w:val="en-US" w:eastAsia="en-US" w:bidi="ar-SA"/>
              </w:rPr>
            </w:pPr>
            <w:r>
              <w:rPr>
                <w:rFonts w:hint="eastAsia" w:ascii="仿宋_GB2312" w:hAnsi="仿宋_GB2312" w:eastAsia="仿宋_GB2312" w:cs="仿宋_GB2312"/>
                <w:sz w:val="18"/>
                <w:szCs w:val="18"/>
                <w:highlight w:val="none"/>
              </w:rPr>
              <w:t>合规</w:t>
            </w:r>
          </w:p>
        </w:tc>
        <w:tc>
          <w:tcPr>
            <w:tcW w:w="151" w:type="pct"/>
            <w:shd w:val="clear" w:color="auto" w:fill="auto"/>
            <w:vAlign w:val="center"/>
          </w:tcPr>
          <w:p w14:paraId="79AD3F15">
            <w:pPr>
              <w:pStyle w:val="11"/>
              <w:jc w:val="center"/>
              <w:rPr>
                <w:rFonts w:hint="eastAsia" w:ascii="仿宋_GB2312" w:hAnsi="仿宋_GB2312" w:eastAsia="仿宋_GB2312" w:cs="仿宋_GB2312"/>
                <w:snapToGrid w:val="0"/>
                <w:color w:val="000000"/>
                <w:sz w:val="18"/>
                <w:szCs w:val="18"/>
                <w:highlight w:val="none"/>
                <w:lang w:val="en-US" w:eastAsia="en-US" w:bidi="ar-SA"/>
              </w:rPr>
            </w:pPr>
            <w:r>
              <w:rPr>
                <w:rFonts w:hint="eastAsia" w:ascii="仿宋_GB2312" w:hAnsi="仿宋_GB2312" w:eastAsia="仿宋_GB2312" w:cs="仿宋_GB2312"/>
                <w:sz w:val="18"/>
                <w:szCs w:val="18"/>
                <w:highlight w:val="none"/>
              </w:rPr>
              <w:t>1</w:t>
            </w:r>
          </w:p>
        </w:tc>
        <w:tc>
          <w:tcPr>
            <w:tcW w:w="698" w:type="pct"/>
            <w:shd w:val="clear" w:color="auto" w:fill="auto"/>
            <w:vAlign w:val="center"/>
          </w:tcPr>
          <w:p w14:paraId="5F0050B3">
            <w:pPr>
              <w:pStyle w:val="11"/>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部门非税收入资金管理是</w:t>
            </w:r>
          </w:p>
          <w:p w14:paraId="0C7256B2">
            <w:pPr>
              <w:pStyle w:val="11"/>
              <w:rPr>
                <w:rFonts w:hint="eastAsia" w:ascii="仿宋_GB2312" w:hAnsi="仿宋_GB2312" w:eastAsia="仿宋_GB2312" w:cs="仿宋_GB2312"/>
                <w:snapToGrid w:val="0"/>
                <w:color w:val="000000"/>
                <w:sz w:val="18"/>
                <w:szCs w:val="18"/>
                <w:highlight w:val="none"/>
                <w:lang w:val="en-US" w:eastAsia="zh-CN" w:bidi="ar-SA"/>
              </w:rPr>
            </w:pPr>
            <w:r>
              <w:rPr>
                <w:rFonts w:hint="eastAsia" w:ascii="仿宋_GB2312" w:hAnsi="仿宋_GB2312" w:eastAsia="仿宋_GB2312" w:cs="仿宋_GB2312"/>
                <w:sz w:val="18"/>
                <w:szCs w:val="18"/>
                <w:highlight w:val="none"/>
                <w:lang w:eastAsia="zh-CN"/>
              </w:rPr>
              <w:t>否符合相关的制度规定，用以反映和考核部门非税收入管理合规性情况。</w:t>
            </w:r>
          </w:p>
        </w:tc>
        <w:tc>
          <w:tcPr>
            <w:tcW w:w="1608" w:type="pct"/>
            <w:shd w:val="clear" w:color="auto" w:fill="auto"/>
            <w:vAlign w:val="center"/>
          </w:tcPr>
          <w:p w14:paraId="64B42618">
            <w:pPr>
              <w:pStyle w:val="11"/>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评价要点：</w:t>
            </w:r>
          </w:p>
          <w:p w14:paraId="7B998D62">
            <w:pPr>
              <w:pStyle w:val="11"/>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1.非税收入征收是否做到依法征收、应收尽收；</w:t>
            </w:r>
          </w:p>
          <w:p w14:paraId="3090C8E2">
            <w:pPr>
              <w:pStyle w:val="11"/>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2.非税收入是否按规定缴入国库或财政专户，是否存在截留、挪用等情况。</w:t>
            </w:r>
          </w:p>
          <w:p w14:paraId="28F9B2CE">
            <w:pPr>
              <w:pStyle w:val="11"/>
              <w:rPr>
                <w:rFonts w:hint="eastAsia" w:ascii="仿宋_GB2312" w:hAnsi="仿宋_GB2312" w:eastAsia="仿宋_GB2312" w:cs="仿宋_GB2312"/>
                <w:snapToGrid w:val="0"/>
                <w:color w:val="000000"/>
                <w:sz w:val="18"/>
                <w:szCs w:val="18"/>
                <w:highlight w:val="none"/>
                <w:lang w:val="en-US" w:eastAsia="zh-CN" w:bidi="ar-SA"/>
              </w:rPr>
            </w:pPr>
            <w:r>
              <w:rPr>
                <w:rFonts w:hint="eastAsia" w:ascii="仿宋_GB2312" w:hAnsi="仿宋_GB2312" w:eastAsia="仿宋_GB2312" w:cs="仿宋_GB2312"/>
                <w:sz w:val="18"/>
                <w:szCs w:val="18"/>
                <w:highlight w:val="none"/>
                <w:lang w:eastAsia="zh-CN"/>
              </w:rPr>
              <w:t>评分规则：以上评价要点各占1/2分值，每个要点执行情况分为达成、部分达成、未达成三档，分别按分值的100%-80%(含)、80%-60%(含)、60%-0%合理确定分值。</w:t>
            </w:r>
          </w:p>
        </w:tc>
        <w:tc>
          <w:tcPr>
            <w:tcW w:w="1240" w:type="pct"/>
            <w:shd w:val="clear" w:color="auto" w:fill="auto"/>
            <w:vAlign w:val="center"/>
          </w:tcPr>
          <w:p w14:paraId="02BCC4E7">
            <w:pPr>
              <w:pStyle w:val="11"/>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1.非税收入征收做到依法征收、应收尽收，达成；</w:t>
            </w:r>
          </w:p>
          <w:p w14:paraId="295A58E6">
            <w:pPr>
              <w:pStyle w:val="11"/>
              <w:rPr>
                <w:rFonts w:hint="eastAsia" w:ascii="仿宋_GB2312" w:hAnsi="仿宋_GB2312" w:eastAsia="仿宋_GB2312" w:cs="仿宋_GB2312"/>
                <w:snapToGrid w:val="0"/>
                <w:color w:val="000000"/>
                <w:sz w:val="18"/>
                <w:szCs w:val="18"/>
                <w:highlight w:val="none"/>
                <w:lang w:val="en-US" w:eastAsia="zh-CN" w:bidi="ar-SA"/>
              </w:rPr>
            </w:pPr>
            <w:r>
              <w:rPr>
                <w:rFonts w:hint="eastAsia" w:ascii="仿宋_GB2312" w:hAnsi="仿宋_GB2312" w:eastAsia="仿宋_GB2312" w:cs="仿宋_GB2312"/>
                <w:sz w:val="18"/>
                <w:szCs w:val="18"/>
                <w:highlight w:val="none"/>
                <w:lang w:eastAsia="zh-CN"/>
              </w:rPr>
              <w:t>2.非税收入按规定缴入国库或财政专户，不存在截留挪用等情况，达成。</w:t>
            </w:r>
          </w:p>
        </w:tc>
        <w:tc>
          <w:tcPr>
            <w:tcW w:w="233" w:type="pct"/>
            <w:shd w:val="clear" w:color="auto" w:fill="auto"/>
            <w:vAlign w:val="center"/>
          </w:tcPr>
          <w:p w14:paraId="62739963">
            <w:pPr>
              <w:pStyle w:val="11"/>
              <w:jc w:val="center"/>
              <w:rPr>
                <w:rFonts w:hint="eastAsia" w:ascii="仿宋_GB2312" w:hAnsi="仿宋_GB2312" w:eastAsia="仿宋_GB2312" w:cs="仿宋_GB2312"/>
                <w:snapToGrid w:val="0"/>
                <w:color w:val="000000"/>
                <w:sz w:val="18"/>
                <w:szCs w:val="18"/>
                <w:highlight w:val="none"/>
                <w:lang w:val="en-US" w:eastAsia="zh-CN" w:bidi="ar-SA"/>
              </w:rPr>
            </w:pPr>
            <w:r>
              <w:rPr>
                <w:rFonts w:hint="eastAsia" w:ascii="仿宋_GB2312" w:hAnsi="仿宋_GB2312" w:eastAsia="仿宋_GB2312" w:cs="仿宋_GB2312"/>
                <w:sz w:val="18"/>
                <w:szCs w:val="18"/>
                <w:highlight w:val="none"/>
              </w:rPr>
              <w:t>1</w:t>
            </w:r>
          </w:p>
        </w:tc>
      </w:tr>
      <w:tr w14:paraId="250E56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19" w:hRule="atLeast"/>
          <w:jc w:val="center"/>
        </w:trPr>
        <w:tc>
          <w:tcPr>
            <w:tcW w:w="254" w:type="pct"/>
            <w:vMerge w:val="continue"/>
            <w:vAlign w:val="center"/>
          </w:tcPr>
          <w:p w14:paraId="1A0779E5">
            <w:pPr>
              <w:pStyle w:val="11"/>
              <w:jc w:val="center"/>
              <w:rPr>
                <w:rFonts w:hint="eastAsia" w:ascii="仿宋_GB2312" w:hAnsi="仿宋_GB2312" w:eastAsia="仿宋_GB2312" w:cs="仿宋_GB2312"/>
                <w:sz w:val="18"/>
                <w:szCs w:val="18"/>
                <w:highlight w:val="none"/>
              </w:rPr>
            </w:pPr>
          </w:p>
        </w:tc>
        <w:tc>
          <w:tcPr>
            <w:tcW w:w="297" w:type="pct"/>
            <w:vMerge w:val="restart"/>
            <w:tcBorders>
              <w:top w:val="single" w:color="auto" w:sz="4" w:space="0"/>
              <w:left w:val="single" w:color="auto" w:sz="4" w:space="0"/>
              <w:right w:val="single" w:color="auto" w:sz="4" w:space="0"/>
            </w:tcBorders>
            <w:vAlign w:val="center"/>
          </w:tcPr>
          <w:p w14:paraId="2D560CA5">
            <w:pPr>
              <w:pStyle w:val="11"/>
              <w:jc w:val="center"/>
              <w:rPr>
                <w:rFonts w:hint="eastAsia" w:ascii="仿宋_GB2312" w:hAnsi="仿宋_GB2312" w:eastAsia="仿宋_GB2312" w:cs="仿宋_GB2312"/>
                <w:sz w:val="18"/>
                <w:szCs w:val="18"/>
                <w:highlight w:val="none"/>
              </w:rPr>
            </w:pPr>
            <w:r>
              <w:rPr>
                <w:rFonts w:hint="eastAsia" w:ascii="仿宋_GB2312" w:hAnsi="仿宋_GB2312" w:eastAsia="仿宋_GB2312" w:cs="仿宋_GB2312"/>
                <w:sz w:val="18"/>
                <w:szCs w:val="18"/>
                <w:highlight w:val="none"/>
              </w:rPr>
              <w:t>B3</w:t>
            </w:r>
          </w:p>
          <w:p w14:paraId="54A8AC12">
            <w:pPr>
              <w:pStyle w:val="11"/>
              <w:jc w:val="center"/>
              <w:rPr>
                <w:rFonts w:hint="eastAsia" w:ascii="仿宋_GB2312" w:hAnsi="仿宋_GB2312" w:eastAsia="仿宋_GB2312" w:cs="仿宋_GB2312"/>
                <w:sz w:val="18"/>
                <w:szCs w:val="18"/>
                <w:highlight w:val="none"/>
              </w:rPr>
            </w:pPr>
            <w:r>
              <w:rPr>
                <w:rFonts w:hint="eastAsia" w:ascii="仿宋_GB2312" w:hAnsi="仿宋_GB2312" w:eastAsia="仿宋_GB2312" w:cs="仿宋_GB2312"/>
                <w:sz w:val="18"/>
                <w:szCs w:val="18"/>
                <w:highlight w:val="none"/>
              </w:rPr>
              <w:t>资产管理</w:t>
            </w:r>
          </w:p>
          <w:p w14:paraId="74CFC419">
            <w:pPr>
              <w:pStyle w:val="11"/>
              <w:jc w:val="center"/>
              <w:rPr>
                <w:rFonts w:hint="eastAsia" w:ascii="仿宋_GB2312" w:hAnsi="仿宋_GB2312" w:eastAsia="仿宋_GB2312" w:cs="仿宋_GB2312"/>
                <w:sz w:val="18"/>
                <w:szCs w:val="18"/>
                <w:highlight w:val="none"/>
              </w:rPr>
            </w:pPr>
            <w:r>
              <w:rPr>
                <w:rFonts w:hint="eastAsia" w:ascii="仿宋_GB2312" w:hAnsi="仿宋_GB2312" w:eastAsia="仿宋_GB2312" w:cs="仿宋_GB2312"/>
                <w:sz w:val="18"/>
                <w:szCs w:val="18"/>
                <w:highlight w:val="none"/>
              </w:rPr>
              <w:t>(3)</w:t>
            </w:r>
          </w:p>
        </w:tc>
        <w:tc>
          <w:tcPr>
            <w:tcW w:w="284" w:type="pct"/>
            <w:tcBorders>
              <w:left w:val="single" w:color="auto" w:sz="4" w:space="0"/>
            </w:tcBorders>
            <w:shd w:val="clear" w:color="auto" w:fill="auto"/>
            <w:vAlign w:val="center"/>
          </w:tcPr>
          <w:p w14:paraId="0C82696F">
            <w:pPr>
              <w:pStyle w:val="11"/>
              <w:jc w:val="center"/>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B31</w:t>
            </w:r>
          </w:p>
          <w:p w14:paraId="1A48C739">
            <w:pPr>
              <w:pStyle w:val="11"/>
              <w:jc w:val="center"/>
              <w:rPr>
                <w:rFonts w:hint="eastAsia" w:ascii="仿宋_GB2312" w:hAnsi="仿宋_GB2312" w:eastAsia="仿宋_GB2312" w:cs="仿宋_GB2312"/>
                <w:snapToGrid w:val="0"/>
                <w:color w:val="000000"/>
                <w:sz w:val="18"/>
                <w:szCs w:val="18"/>
                <w:highlight w:val="none"/>
                <w:lang w:val="en-US" w:eastAsia="zh-CN" w:bidi="ar-SA"/>
              </w:rPr>
            </w:pPr>
            <w:r>
              <w:rPr>
                <w:rFonts w:hint="eastAsia" w:ascii="仿宋_GB2312" w:hAnsi="仿宋_GB2312" w:eastAsia="仿宋_GB2312" w:cs="仿宋_GB2312"/>
                <w:sz w:val="18"/>
                <w:szCs w:val="18"/>
                <w:highlight w:val="none"/>
                <w:lang w:eastAsia="zh-CN"/>
              </w:rPr>
              <w:t>资产管理制度健全性</w:t>
            </w:r>
          </w:p>
        </w:tc>
        <w:tc>
          <w:tcPr>
            <w:tcW w:w="231" w:type="pct"/>
            <w:shd w:val="clear" w:color="auto" w:fill="auto"/>
            <w:vAlign w:val="center"/>
          </w:tcPr>
          <w:p w14:paraId="396CC24A">
            <w:pPr>
              <w:pStyle w:val="11"/>
              <w:jc w:val="center"/>
              <w:rPr>
                <w:rFonts w:hint="eastAsia" w:ascii="仿宋_GB2312" w:hAnsi="仿宋_GB2312" w:eastAsia="仿宋_GB2312" w:cs="仿宋_GB2312"/>
                <w:snapToGrid w:val="0"/>
                <w:color w:val="000000"/>
                <w:sz w:val="18"/>
                <w:szCs w:val="18"/>
                <w:highlight w:val="none"/>
                <w:lang w:val="en-US" w:eastAsia="en-US" w:bidi="ar-SA"/>
              </w:rPr>
            </w:pPr>
            <w:r>
              <w:rPr>
                <w:rFonts w:hint="eastAsia" w:ascii="仿宋_GB2312" w:hAnsi="仿宋_GB2312" w:eastAsia="仿宋_GB2312" w:cs="仿宋_GB2312"/>
                <w:sz w:val="18"/>
                <w:szCs w:val="18"/>
                <w:highlight w:val="none"/>
              </w:rPr>
              <w:t>健全</w:t>
            </w:r>
          </w:p>
        </w:tc>
        <w:tc>
          <w:tcPr>
            <w:tcW w:w="151" w:type="pct"/>
            <w:shd w:val="clear" w:color="auto" w:fill="auto"/>
            <w:vAlign w:val="center"/>
          </w:tcPr>
          <w:p w14:paraId="1FED56A1">
            <w:pPr>
              <w:pStyle w:val="11"/>
              <w:jc w:val="center"/>
              <w:rPr>
                <w:rFonts w:hint="eastAsia" w:ascii="仿宋_GB2312" w:hAnsi="仿宋_GB2312" w:eastAsia="仿宋_GB2312" w:cs="仿宋_GB2312"/>
                <w:snapToGrid w:val="0"/>
                <w:color w:val="000000"/>
                <w:sz w:val="18"/>
                <w:szCs w:val="18"/>
                <w:highlight w:val="none"/>
                <w:lang w:val="en-US" w:eastAsia="en-US" w:bidi="ar-SA"/>
              </w:rPr>
            </w:pPr>
            <w:r>
              <w:rPr>
                <w:rFonts w:hint="eastAsia" w:ascii="仿宋_GB2312" w:hAnsi="仿宋_GB2312" w:eastAsia="仿宋_GB2312" w:cs="仿宋_GB2312"/>
                <w:sz w:val="18"/>
                <w:szCs w:val="18"/>
                <w:highlight w:val="none"/>
              </w:rPr>
              <w:t>1</w:t>
            </w:r>
          </w:p>
        </w:tc>
        <w:tc>
          <w:tcPr>
            <w:tcW w:w="698" w:type="pct"/>
            <w:shd w:val="clear" w:color="auto" w:fill="auto"/>
            <w:vAlign w:val="center"/>
          </w:tcPr>
          <w:p w14:paraId="2BA4754A">
            <w:pPr>
              <w:pStyle w:val="11"/>
              <w:rPr>
                <w:rFonts w:hint="eastAsia" w:ascii="仿宋_GB2312" w:hAnsi="仿宋_GB2312" w:eastAsia="仿宋_GB2312" w:cs="仿宋_GB2312"/>
                <w:snapToGrid w:val="0"/>
                <w:color w:val="000000"/>
                <w:sz w:val="18"/>
                <w:szCs w:val="18"/>
                <w:highlight w:val="none"/>
                <w:lang w:val="en-US" w:eastAsia="zh-CN" w:bidi="ar-SA"/>
              </w:rPr>
            </w:pPr>
            <w:r>
              <w:rPr>
                <w:rFonts w:hint="eastAsia" w:ascii="仿宋_GB2312" w:hAnsi="仿宋_GB2312" w:eastAsia="仿宋_GB2312" w:cs="仿宋_GB2312"/>
                <w:sz w:val="18"/>
                <w:szCs w:val="18"/>
                <w:highlight w:val="none"/>
                <w:lang w:eastAsia="zh-CN"/>
              </w:rPr>
              <w:t>部门为加强资产管理、规范资产管理行为而制定的管理制度是否完美.用以反映和考核部门资产管理制度对完成主要职责或促进社会发展的保障情况。</w:t>
            </w:r>
          </w:p>
        </w:tc>
        <w:tc>
          <w:tcPr>
            <w:tcW w:w="1608" w:type="pct"/>
            <w:shd w:val="clear" w:color="auto" w:fill="auto"/>
            <w:vAlign w:val="center"/>
          </w:tcPr>
          <w:p w14:paraId="08DA71F6">
            <w:pPr>
              <w:pStyle w:val="11"/>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评价要点：</w:t>
            </w:r>
          </w:p>
          <w:p w14:paraId="76E44EF5">
            <w:pPr>
              <w:pStyle w:val="11"/>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1.是否已制定或具有资产管理制度；</w:t>
            </w:r>
          </w:p>
          <w:p w14:paraId="125889B3">
            <w:pPr>
              <w:pStyle w:val="11"/>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2.相关资产管理制度是否合法、合规、完整。</w:t>
            </w:r>
          </w:p>
          <w:p w14:paraId="70F1229B">
            <w:pPr>
              <w:pStyle w:val="11"/>
              <w:rPr>
                <w:rFonts w:hint="eastAsia" w:ascii="仿宋_GB2312" w:hAnsi="仿宋_GB2312" w:eastAsia="仿宋_GB2312" w:cs="仿宋_GB2312"/>
                <w:snapToGrid w:val="0"/>
                <w:color w:val="000000"/>
                <w:sz w:val="18"/>
                <w:szCs w:val="18"/>
                <w:highlight w:val="none"/>
                <w:lang w:val="en-US" w:eastAsia="zh-CN" w:bidi="ar-SA"/>
              </w:rPr>
            </w:pPr>
            <w:r>
              <w:rPr>
                <w:rFonts w:hint="eastAsia" w:ascii="仿宋_GB2312" w:hAnsi="仿宋_GB2312" w:eastAsia="仿宋_GB2312" w:cs="仿宋_GB2312"/>
                <w:sz w:val="18"/>
                <w:szCs w:val="18"/>
                <w:highlight w:val="none"/>
                <w:lang w:eastAsia="zh-CN"/>
              </w:rPr>
              <w:t>评分规则：以上评价要点各占1/2分值，每个要点执行情况分为达成、部分达成、未达成三档，分别按分值的100%-80%(含)、80%-60%(含)、60%-0%合理确定分值。</w:t>
            </w:r>
          </w:p>
        </w:tc>
        <w:tc>
          <w:tcPr>
            <w:tcW w:w="1240" w:type="pct"/>
            <w:shd w:val="clear" w:color="auto" w:fill="auto"/>
            <w:vAlign w:val="center"/>
          </w:tcPr>
          <w:p w14:paraId="7A357FCE">
            <w:pPr>
              <w:pStyle w:val="11"/>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1.制定资产管理办法，达成；</w:t>
            </w:r>
          </w:p>
          <w:p w14:paraId="03680A5D">
            <w:pPr>
              <w:pStyle w:val="11"/>
              <w:rPr>
                <w:rFonts w:hint="eastAsia" w:ascii="仿宋_GB2312" w:hAnsi="仿宋_GB2312" w:eastAsia="仿宋_GB2312" w:cs="仿宋_GB2312"/>
                <w:snapToGrid w:val="0"/>
                <w:color w:val="000000"/>
                <w:sz w:val="18"/>
                <w:szCs w:val="18"/>
                <w:highlight w:val="none"/>
                <w:lang w:val="en-US" w:eastAsia="zh-CN" w:bidi="ar-SA"/>
              </w:rPr>
            </w:pPr>
            <w:r>
              <w:rPr>
                <w:rFonts w:hint="eastAsia" w:ascii="仿宋_GB2312" w:hAnsi="仿宋_GB2312" w:eastAsia="仿宋_GB2312" w:cs="仿宋_GB2312"/>
                <w:sz w:val="18"/>
                <w:szCs w:val="18"/>
                <w:highlight w:val="none"/>
                <w:lang w:eastAsia="zh-CN"/>
              </w:rPr>
              <w:t>2.相关资产管理制度合法、合规，完整，达成。</w:t>
            </w:r>
          </w:p>
        </w:tc>
        <w:tc>
          <w:tcPr>
            <w:tcW w:w="233" w:type="pct"/>
            <w:shd w:val="clear" w:color="auto" w:fill="auto"/>
            <w:vAlign w:val="center"/>
          </w:tcPr>
          <w:p w14:paraId="002BF258">
            <w:pPr>
              <w:pStyle w:val="11"/>
              <w:jc w:val="center"/>
              <w:rPr>
                <w:rFonts w:hint="eastAsia" w:ascii="仿宋_GB2312" w:hAnsi="仿宋_GB2312" w:eastAsia="仿宋_GB2312" w:cs="仿宋_GB2312"/>
                <w:snapToGrid w:val="0"/>
                <w:color w:val="000000"/>
                <w:sz w:val="18"/>
                <w:szCs w:val="18"/>
                <w:highlight w:val="none"/>
                <w:lang w:val="en-US" w:eastAsia="zh-CN" w:bidi="ar-SA"/>
              </w:rPr>
            </w:pPr>
            <w:r>
              <w:rPr>
                <w:rFonts w:hint="eastAsia" w:ascii="仿宋_GB2312" w:hAnsi="仿宋_GB2312" w:eastAsia="仿宋_GB2312" w:cs="仿宋_GB2312"/>
                <w:sz w:val="18"/>
                <w:szCs w:val="18"/>
                <w:highlight w:val="none"/>
                <w:lang w:val="en-US" w:eastAsia="zh-CN"/>
              </w:rPr>
              <w:t>1</w:t>
            </w:r>
          </w:p>
        </w:tc>
      </w:tr>
      <w:tr w14:paraId="18DBAC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10" w:hRule="atLeast"/>
          <w:jc w:val="center"/>
        </w:trPr>
        <w:tc>
          <w:tcPr>
            <w:tcW w:w="254" w:type="pct"/>
            <w:vMerge w:val="continue"/>
            <w:vAlign w:val="center"/>
          </w:tcPr>
          <w:p w14:paraId="5E26D01C">
            <w:pPr>
              <w:pStyle w:val="11"/>
              <w:jc w:val="center"/>
              <w:rPr>
                <w:rFonts w:hint="eastAsia" w:ascii="仿宋_GB2312" w:hAnsi="仿宋_GB2312" w:eastAsia="仿宋_GB2312" w:cs="仿宋_GB2312"/>
                <w:sz w:val="18"/>
                <w:szCs w:val="18"/>
                <w:highlight w:val="none"/>
              </w:rPr>
            </w:pPr>
          </w:p>
        </w:tc>
        <w:tc>
          <w:tcPr>
            <w:tcW w:w="297" w:type="pct"/>
            <w:vMerge w:val="continue"/>
            <w:tcBorders>
              <w:left w:val="single" w:color="auto" w:sz="4" w:space="0"/>
              <w:right w:val="single" w:color="auto" w:sz="4" w:space="0"/>
            </w:tcBorders>
            <w:vAlign w:val="center"/>
          </w:tcPr>
          <w:p w14:paraId="1FCE613F">
            <w:pPr>
              <w:pStyle w:val="11"/>
              <w:jc w:val="center"/>
              <w:rPr>
                <w:rFonts w:hint="eastAsia" w:ascii="仿宋_GB2312" w:hAnsi="仿宋_GB2312" w:eastAsia="仿宋_GB2312" w:cs="仿宋_GB2312"/>
                <w:sz w:val="18"/>
                <w:szCs w:val="18"/>
                <w:highlight w:val="none"/>
              </w:rPr>
            </w:pPr>
          </w:p>
        </w:tc>
        <w:tc>
          <w:tcPr>
            <w:tcW w:w="284" w:type="pct"/>
            <w:tcBorders>
              <w:left w:val="single" w:color="auto" w:sz="4" w:space="0"/>
            </w:tcBorders>
            <w:shd w:val="clear" w:color="auto" w:fill="auto"/>
            <w:vAlign w:val="center"/>
          </w:tcPr>
          <w:p w14:paraId="08837A92">
            <w:pPr>
              <w:pStyle w:val="11"/>
              <w:jc w:val="center"/>
              <w:rPr>
                <w:rFonts w:hint="eastAsia" w:ascii="仿宋_GB2312" w:hAnsi="仿宋_GB2312" w:eastAsia="仿宋_GB2312" w:cs="仿宋_GB2312"/>
                <w:sz w:val="18"/>
                <w:szCs w:val="18"/>
                <w:highlight w:val="none"/>
              </w:rPr>
            </w:pPr>
            <w:r>
              <w:rPr>
                <w:rFonts w:hint="eastAsia" w:ascii="仿宋_GB2312" w:hAnsi="仿宋_GB2312" w:eastAsia="仿宋_GB2312" w:cs="仿宋_GB2312"/>
                <w:sz w:val="18"/>
                <w:szCs w:val="18"/>
                <w:highlight w:val="none"/>
              </w:rPr>
              <w:t>B32</w:t>
            </w:r>
          </w:p>
          <w:p w14:paraId="6373F02C">
            <w:pPr>
              <w:pStyle w:val="11"/>
              <w:jc w:val="center"/>
              <w:rPr>
                <w:rFonts w:hint="eastAsia" w:ascii="仿宋_GB2312" w:hAnsi="仿宋_GB2312" w:eastAsia="仿宋_GB2312" w:cs="仿宋_GB2312"/>
                <w:sz w:val="18"/>
                <w:szCs w:val="18"/>
                <w:highlight w:val="none"/>
              </w:rPr>
            </w:pPr>
            <w:r>
              <w:rPr>
                <w:rFonts w:hint="eastAsia" w:ascii="仿宋_GB2312" w:hAnsi="仿宋_GB2312" w:eastAsia="仿宋_GB2312" w:cs="仿宋_GB2312"/>
                <w:sz w:val="18"/>
                <w:szCs w:val="18"/>
                <w:highlight w:val="none"/>
              </w:rPr>
              <w:t>资产管理</w:t>
            </w:r>
          </w:p>
          <w:p w14:paraId="5FD24ABF">
            <w:pPr>
              <w:pStyle w:val="11"/>
              <w:jc w:val="center"/>
              <w:rPr>
                <w:rFonts w:hint="eastAsia" w:ascii="仿宋_GB2312" w:hAnsi="仿宋_GB2312" w:eastAsia="仿宋_GB2312" w:cs="仿宋_GB2312"/>
                <w:snapToGrid w:val="0"/>
                <w:color w:val="000000"/>
                <w:sz w:val="18"/>
                <w:szCs w:val="18"/>
                <w:highlight w:val="none"/>
                <w:lang w:val="en-US" w:eastAsia="en-US" w:bidi="ar-SA"/>
              </w:rPr>
            </w:pPr>
            <w:r>
              <w:rPr>
                <w:rFonts w:hint="eastAsia" w:ascii="仿宋_GB2312" w:hAnsi="仿宋_GB2312" w:eastAsia="仿宋_GB2312" w:cs="仿宋_GB2312"/>
                <w:sz w:val="18"/>
                <w:szCs w:val="18"/>
                <w:highlight w:val="none"/>
              </w:rPr>
              <w:t>规范性</w:t>
            </w:r>
          </w:p>
        </w:tc>
        <w:tc>
          <w:tcPr>
            <w:tcW w:w="231" w:type="pct"/>
            <w:shd w:val="clear" w:color="auto" w:fill="auto"/>
            <w:vAlign w:val="center"/>
          </w:tcPr>
          <w:p w14:paraId="2B20FD57">
            <w:pPr>
              <w:pStyle w:val="11"/>
              <w:jc w:val="center"/>
              <w:rPr>
                <w:rFonts w:hint="eastAsia" w:ascii="仿宋_GB2312" w:hAnsi="仿宋_GB2312" w:eastAsia="仿宋_GB2312" w:cs="仿宋_GB2312"/>
                <w:snapToGrid w:val="0"/>
                <w:color w:val="000000"/>
                <w:sz w:val="18"/>
                <w:szCs w:val="18"/>
                <w:highlight w:val="none"/>
                <w:lang w:val="en-US" w:eastAsia="en-US" w:bidi="ar-SA"/>
              </w:rPr>
            </w:pPr>
            <w:r>
              <w:rPr>
                <w:rFonts w:hint="eastAsia" w:ascii="仿宋_GB2312" w:hAnsi="仿宋_GB2312" w:eastAsia="仿宋_GB2312" w:cs="仿宋_GB2312"/>
                <w:sz w:val="18"/>
                <w:szCs w:val="18"/>
                <w:highlight w:val="none"/>
              </w:rPr>
              <w:t>规范</w:t>
            </w:r>
          </w:p>
        </w:tc>
        <w:tc>
          <w:tcPr>
            <w:tcW w:w="151" w:type="pct"/>
            <w:shd w:val="clear" w:color="auto" w:fill="auto"/>
            <w:vAlign w:val="center"/>
          </w:tcPr>
          <w:p w14:paraId="37D096C6">
            <w:pPr>
              <w:pStyle w:val="11"/>
              <w:jc w:val="center"/>
              <w:rPr>
                <w:rFonts w:hint="eastAsia" w:ascii="仿宋_GB2312" w:hAnsi="仿宋_GB2312" w:eastAsia="仿宋_GB2312" w:cs="仿宋_GB2312"/>
                <w:snapToGrid w:val="0"/>
                <w:color w:val="000000"/>
                <w:sz w:val="18"/>
                <w:szCs w:val="18"/>
                <w:highlight w:val="none"/>
                <w:lang w:val="en-US" w:eastAsia="en-US" w:bidi="ar-SA"/>
              </w:rPr>
            </w:pPr>
            <w:r>
              <w:rPr>
                <w:rFonts w:hint="eastAsia" w:ascii="仿宋_GB2312" w:hAnsi="仿宋_GB2312" w:eastAsia="仿宋_GB2312" w:cs="仿宋_GB2312"/>
                <w:sz w:val="18"/>
                <w:szCs w:val="18"/>
                <w:highlight w:val="none"/>
              </w:rPr>
              <w:t>1</w:t>
            </w:r>
          </w:p>
        </w:tc>
        <w:tc>
          <w:tcPr>
            <w:tcW w:w="698" w:type="pct"/>
            <w:shd w:val="clear" w:color="auto" w:fill="auto"/>
            <w:vAlign w:val="center"/>
          </w:tcPr>
          <w:p w14:paraId="267F1C25">
            <w:pPr>
              <w:pStyle w:val="11"/>
              <w:rPr>
                <w:rFonts w:hint="eastAsia" w:ascii="仿宋_GB2312" w:hAnsi="仿宋_GB2312" w:eastAsia="仿宋_GB2312" w:cs="仿宋_GB2312"/>
                <w:snapToGrid w:val="0"/>
                <w:color w:val="000000"/>
                <w:sz w:val="18"/>
                <w:szCs w:val="18"/>
                <w:highlight w:val="none"/>
                <w:lang w:val="en-US" w:eastAsia="zh-CN" w:bidi="ar-SA"/>
              </w:rPr>
            </w:pPr>
            <w:r>
              <w:rPr>
                <w:rFonts w:hint="eastAsia" w:ascii="仿宋_GB2312" w:hAnsi="仿宋_GB2312" w:eastAsia="仿宋_GB2312" w:cs="仿宋_GB2312"/>
                <w:sz w:val="18"/>
                <w:szCs w:val="18"/>
                <w:highlight w:val="none"/>
                <w:lang w:eastAsia="zh-CN"/>
              </w:rPr>
              <w:t>部门的资产是否保存完整、使用合规、配置合理、处置规范、收入及时足额上缴，用以反映和考核部门资产安全运行情况。</w:t>
            </w:r>
          </w:p>
        </w:tc>
        <w:tc>
          <w:tcPr>
            <w:tcW w:w="1608" w:type="pct"/>
            <w:shd w:val="clear" w:color="auto" w:fill="auto"/>
            <w:vAlign w:val="center"/>
          </w:tcPr>
          <w:p w14:paraId="44D1F044">
            <w:pPr>
              <w:pStyle w:val="11"/>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评价要点：</w:t>
            </w:r>
          </w:p>
          <w:p w14:paraId="4D786219">
            <w:pPr>
              <w:pStyle w:val="11"/>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1.资产购置是否符合规定，新购资产入库管理是否规范(如编制采购计划、进行采购审核、验收等);</w:t>
            </w:r>
          </w:p>
          <w:p w14:paraId="433C4F17">
            <w:pPr>
              <w:pStyle w:val="11"/>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2.是否定期对现有资产进行清查统计，是否账实相符；</w:t>
            </w:r>
          </w:p>
          <w:p w14:paraId="1E0DBB85">
            <w:pPr>
              <w:pStyle w:val="11"/>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3.资产有偿使用和资产处置是否规范，所获收入是否及时足额上缴。</w:t>
            </w:r>
          </w:p>
          <w:p w14:paraId="12B31230">
            <w:pPr>
              <w:pStyle w:val="11"/>
              <w:rPr>
                <w:rFonts w:hint="eastAsia" w:ascii="仿宋_GB2312" w:hAnsi="仿宋_GB2312" w:eastAsia="仿宋_GB2312" w:cs="仿宋_GB2312"/>
                <w:snapToGrid w:val="0"/>
                <w:color w:val="000000"/>
                <w:sz w:val="18"/>
                <w:szCs w:val="18"/>
                <w:highlight w:val="none"/>
                <w:lang w:val="en-US" w:eastAsia="zh-CN" w:bidi="ar-SA"/>
              </w:rPr>
            </w:pPr>
            <w:r>
              <w:rPr>
                <w:rFonts w:hint="eastAsia" w:ascii="仿宋_GB2312" w:hAnsi="仿宋_GB2312" w:eastAsia="仿宋_GB2312" w:cs="仿宋_GB2312"/>
                <w:sz w:val="18"/>
                <w:szCs w:val="18"/>
                <w:highlight w:val="none"/>
                <w:lang w:eastAsia="zh-CN"/>
              </w:rPr>
              <w:t>评分规则：以上评价要点各占1/3分值，每个要点执行情况分为达成、部分达成、未达成三档，分别按分值的100%-80%(含)、80%-60%(含)、60%-0%合理确定分值。</w:t>
            </w:r>
          </w:p>
        </w:tc>
        <w:tc>
          <w:tcPr>
            <w:tcW w:w="1240" w:type="pct"/>
            <w:shd w:val="clear" w:color="auto" w:fill="auto"/>
            <w:vAlign w:val="center"/>
          </w:tcPr>
          <w:p w14:paraId="721DB7B9">
            <w:pPr>
              <w:pStyle w:val="11"/>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1.202</w:t>
            </w:r>
            <w:r>
              <w:rPr>
                <w:rFonts w:hint="eastAsia" w:ascii="仿宋_GB2312" w:hAnsi="仿宋_GB2312" w:eastAsia="仿宋_GB2312" w:cs="仿宋_GB2312"/>
                <w:sz w:val="18"/>
                <w:szCs w:val="18"/>
                <w:highlight w:val="none"/>
                <w:lang w:val="en-US" w:eastAsia="zh-CN"/>
              </w:rPr>
              <w:t>5</w:t>
            </w:r>
            <w:r>
              <w:rPr>
                <w:rFonts w:hint="eastAsia" w:ascii="仿宋_GB2312" w:hAnsi="仿宋_GB2312" w:eastAsia="仿宋_GB2312" w:cs="仿宋_GB2312"/>
                <w:sz w:val="18"/>
                <w:szCs w:val="18"/>
                <w:highlight w:val="none"/>
                <w:lang w:eastAsia="zh-CN"/>
              </w:rPr>
              <w:t>年无新购资产,达成；</w:t>
            </w:r>
          </w:p>
          <w:p w14:paraId="1587E57B">
            <w:pPr>
              <w:pStyle w:val="11"/>
              <w:rPr>
                <w:rFonts w:hint="eastAsia" w:ascii="仿宋_GB2312" w:hAnsi="仿宋_GB2312" w:eastAsia="仿宋_GB2312" w:cs="仿宋_GB2312"/>
                <w:sz w:val="18"/>
                <w:szCs w:val="18"/>
                <w:highlight w:val="none"/>
                <w:lang w:val="en-US" w:eastAsia="zh-CN"/>
              </w:rPr>
            </w:pPr>
            <w:r>
              <w:rPr>
                <w:rFonts w:hint="eastAsia" w:ascii="仿宋_GB2312" w:hAnsi="仿宋_GB2312" w:eastAsia="仿宋_GB2312" w:cs="仿宋_GB2312"/>
                <w:sz w:val="18"/>
                <w:szCs w:val="18"/>
                <w:highlight w:val="none"/>
                <w:lang w:eastAsia="zh-CN"/>
              </w:rPr>
              <w:t>2.</w:t>
            </w:r>
            <w:r>
              <w:rPr>
                <w:rFonts w:hint="eastAsia" w:ascii="仿宋_GB2312" w:hAnsi="仿宋_GB2312" w:eastAsia="仿宋_GB2312" w:cs="仿宋_GB2312"/>
                <w:sz w:val="18"/>
                <w:szCs w:val="18"/>
                <w:highlight w:val="none"/>
                <w:lang w:val="en-US" w:eastAsia="zh-CN"/>
              </w:rPr>
              <w:t>2025年未进行资产盘点；</w:t>
            </w:r>
          </w:p>
          <w:p w14:paraId="576341D8">
            <w:pPr>
              <w:pStyle w:val="11"/>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val="en-US" w:eastAsia="zh-CN"/>
              </w:rPr>
              <w:t>3.2025年无资产处置</w:t>
            </w:r>
            <w:r>
              <w:rPr>
                <w:rFonts w:hint="eastAsia" w:ascii="仿宋_GB2312" w:hAnsi="仿宋_GB2312" w:eastAsia="仿宋_GB2312" w:cs="仿宋_GB2312"/>
                <w:sz w:val="18"/>
                <w:szCs w:val="18"/>
                <w:highlight w:val="none"/>
                <w:lang w:eastAsia="zh-CN"/>
              </w:rPr>
              <w:t>，达成。</w:t>
            </w:r>
          </w:p>
          <w:p w14:paraId="4F68B322">
            <w:pPr>
              <w:pStyle w:val="11"/>
              <w:rPr>
                <w:rFonts w:hint="default" w:ascii="仿宋_GB2312" w:hAnsi="仿宋_GB2312" w:eastAsia="仿宋_GB2312" w:cs="仿宋_GB2312"/>
                <w:sz w:val="18"/>
                <w:szCs w:val="18"/>
                <w:highlight w:val="none"/>
                <w:lang w:val="en-US" w:eastAsia="zh-CN"/>
              </w:rPr>
            </w:pPr>
            <w:r>
              <w:rPr>
                <w:rFonts w:hint="eastAsia" w:ascii="仿宋_GB2312" w:hAnsi="仿宋_GB2312" w:eastAsia="仿宋_GB2312" w:cs="仿宋_GB2312"/>
                <w:sz w:val="18"/>
                <w:szCs w:val="18"/>
                <w:highlight w:val="none"/>
                <w:lang w:eastAsia="zh-CN"/>
              </w:rPr>
              <w:t>扣分说明：</w:t>
            </w:r>
            <w:r>
              <w:rPr>
                <w:rFonts w:hint="eastAsia" w:ascii="仿宋_GB2312" w:hAnsi="仿宋_GB2312" w:eastAsia="仿宋_GB2312" w:cs="仿宋_GB2312"/>
                <w:sz w:val="18"/>
                <w:szCs w:val="18"/>
                <w:highlight w:val="none"/>
                <w:lang w:val="en-US" w:eastAsia="zh-CN"/>
              </w:rPr>
              <w:t>2025年未进行资产盘点，扣0.33分。</w:t>
            </w:r>
          </w:p>
        </w:tc>
        <w:tc>
          <w:tcPr>
            <w:tcW w:w="233" w:type="pct"/>
            <w:shd w:val="clear" w:color="auto" w:fill="auto"/>
            <w:vAlign w:val="center"/>
          </w:tcPr>
          <w:p w14:paraId="03FF4B8E">
            <w:pPr>
              <w:pStyle w:val="11"/>
              <w:jc w:val="center"/>
              <w:rPr>
                <w:rFonts w:hint="default" w:ascii="仿宋_GB2312" w:hAnsi="仿宋_GB2312" w:eastAsia="仿宋_GB2312" w:cs="仿宋_GB2312"/>
                <w:snapToGrid w:val="0"/>
                <w:color w:val="000000"/>
                <w:sz w:val="18"/>
                <w:szCs w:val="18"/>
                <w:highlight w:val="none"/>
                <w:lang w:val="en-US" w:eastAsia="zh-CN" w:bidi="ar-SA"/>
              </w:rPr>
            </w:pPr>
            <w:r>
              <w:rPr>
                <w:rFonts w:hint="eastAsia" w:ascii="仿宋_GB2312" w:hAnsi="仿宋_GB2312" w:eastAsia="仿宋_GB2312" w:cs="仿宋_GB2312"/>
                <w:sz w:val="18"/>
                <w:szCs w:val="18"/>
                <w:highlight w:val="none"/>
                <w:lang w:val="en-US" w:eastAsia="zh-CN"/>
              </w:rPr>
              <w:t>0.67</w:t>
            </w:r>
          </w:p>
        </w:tc>
      </w:tr>
      <w:tr w14:paraId="0E5855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4" w:hRule="atLeast"/>
          <w:jc w:val="center"/>
        </w:trPr>
        <w:tc>
          <w:tcPr>
            <w:tcW w:w="254" w:type="pct"/>
            <w:vMerge w:val="continue"/>
            <w:vAlign w:val="center"/>
          </w:tcPr>
          <w:p w14:paraId="09C0F8C3">
            <w:pPr>
              <w:pStyle w:val="11"/>
              <w:jc w:val="center"/>
              <w:rPr>
                <w:rFonts w:hint="eastAsia" w:ascii="仿宋_GB2312" w:hAnsi="仿宋_GB2312" w:eastAsia="仿宋_GB2312" w:cs="仿宋_GB2312"/>
                <w:sz w:val="18"/>
                <w:szCs w:val="18"/>
                <w:highlight w:val="none"/>
              </w:rPr>
            </w:pPr>
          </w:p>
        </w:tc>
        <w:tc>
          <w:tcPr>
            <w:tcW w:w="297" w:type="pct"/>
            <w:vMerge w:val="continue"/>
            <w:tcBorders>
              <w:left w:val="single" w:color="auto" w:sz="4" w:space="0"/>
              <w:bottom w:val="single" w:color="auto" w:sz="4" w:space="0"/>
              <w:right w:val="single" w:color="auto" w:sz="4" w:space="0"/>
            </w:tcBorders>
            <w:vAlign w:val="center"/>
          </w:tcPr>
          <w:p w14:paraId="59EA19AC">
            <w:pPr>
              <w:pStyle w:val="11"/>
              <w:jc w:val="center"/>
              <w:rPr>
                <w:rFonts w:hint="eastAsia" w:ascii="仿宋_GB2312" w:hAnsi="仿宋_GB2312" w:eastAsia="仿宋_GB2312" w:cs="仿宋_GB2312"/>
                <w:sz w:val="18"/>
                <w:szCs w:val="18"/>
                <w:highlight w:val="none"/>
              </w:rPr>
            </w:pPr>
          </w:p>
        </w:tc>
        <w:tc>
          <w:tcPr>
            <w:tcW w:w="284" w:type="pct"/>
            <w:tcBorders>
              <w:left w:val="single" w:color="auto" w:sz="4" w:space="0"/>
            </w:tcBorders>
            <w:shd w:val="clear" w:color="auto" w:fill="auto"/>
            <w:vAlign w:val="center"/>
          </w:tcPr>
          <w:p w14:paraId="65D0BB6B">
            <w:pPr>
              <w:pStyle w:val="11"/>
              <w:jc w:val="center"/>
              <w:rPr>
                <w:rFonts w:hint="eastAsia" w:ascii="仿宋_GB2312" w:hAnsi="仿宋_GB2312" w:eastAsia="仿宋_GB2312" w:cs="仿宋_GB2312"/>
                <w:sz w:val="18"/>
                <w:szCs w:val="18"/>
                <w:highlight w:val="none"/>
              </w:rPr>
            </w:pPr>
            <w:r>
              <w:rPr>
                <w:rFonts w:hint="eastAsia" w:ascii="仿宋_GB2312" w:hAnsi="仿宋_GB2312" w:eastAsia="仿宋_GB2312" w:cs="仿宋_GB2312"/>
                <w:sz w:val="18"/>
                <w:szCs w:val="18"/>
                <w:highlight w:val="none"/>
              </w:rPr>
              <w:t>B33</w:t>
            </w:r>
          </w:p>
          <w:p w14:paraId="5D129C44">
            <w:pPr>
              <w:pStyle w:val="11"/>
              <w:jc w:val="center"/>
              <w:rPr>
                <w:rFonts w:hint="eastAsia" w:ascii="仿宋_GB2312" w:hAnsi="仿宋_GB2312" w:eastAsia="仿宋_GB2312" w:cs="仿宋_GB2312"/>
                <w:sz w:val="18"/>
                <w:szCs w:val="18"/>
                <w:highlight w:val="none"/>
              </w:rPr>
            </w:pPr>
            <w:r>
              <w:rPr>
                <w:rFonts w:hint="eastAsia" w:ascii="仿宋_GB2312" w:hAnsi="仿宋_GB2312" w:eastAsia="仿宋_GB2312" w:cs="仿宋_GB2312"/>
                <w:sz w:val="18"/>
                <w:szCs w:val="18"/>
                <w:highlight w:val="none"/>
              </w:rPr>
              <w:t>固定资产</w:t>
            </w:r>
          </w:p>
          <w:p w14:paraId="071B8B12">
            <w:pPr>
              <w:pStyle w:val="11"/>
              <w:jc w:val="center"/>
              <w:rPr>
                <w:rFonts w:hint="eastAsia" w:ascii="仿宋_GB2312" w:hAnsi="仿宋_GB2312" w:eastAsia="仿宋_GB2312" w:cs="仿宋_GB2312"/>
                <w:snapToGrid w:val="0"/>
                <w:color w:val="000000"/>
                <w:sz w:val="18"/>
                <w:szCs w:val="18"/>
                <w:highlight w:val="none"/>
                <w:lang w:val="en-US" w:eastAsia="en-US" w:bidi="ar-SA"/>
              </w:rPr>
            </w:pPr>
            <w:r>
              <w:rPr>
                <w:rFonts w:hint="eastAsia" w:ascii="仿宋_GB2312" w:hAnsi="仿宋_GB2312" w:eastAsia="仿宋_GB2312" w:cs="仿宋_GB2312"/>
                <w:sz w:val="18"/>
                <w:szCs w:val="18"/>
                <w:highlight w:val="none"/>
              </w:rPr>
              <w:t>利用率</w:t>
            </w:r>
          </w:p>
        </w:tc>
        <w:tc>
          <w:tcPr>
            <w:tcW w:w="231" w:type="pct"/>
            <w:shd w:val="clear" w:color="auto" w:fill="auto"/>
            <w:vAlign w:val="center"/>
          </w:tcPr>
          <w:p w14:paraId="24343ED6">
            <w:pPr>
              <w:pStyle w:val="11"/>
              <w:jc w:val="center"/>
              <w:rPr>
                <w:rFonts w:hint="eastAsia" w:ascii="仿宋_GB2312" w:hAnsi="仿宋_GB2312" w:eastAsia="仿宋_GB2312" w:cs="仿宋_GB2312"/>
                <w:snapToGrid w:val="0"/>
                <w:color w:val="000000"/>
                <w:sz w:val="18"/>
                <w:szCs w:val="18"/>
                <w:highlight w:val="none"/>
                <w:lang w:val="en-US" w:eastAsia="en-US" w:bidi="ar-SA"/>
              </w:rPr>
            </w:pPr>
            <w:r>
              <w:rPr>
                <w:rFonts w:hint="eastAsia" w:ascii="仿宋_GB2312" w:hAnsi="仿宋_GB2312" w:eastAsia="仿宋_GB2312" w:cs="仿宋_GB2312"/>
                <w:sz w:val="18"/>
                <w:szCs w:val="18"/>
                <w:highlight w:val="none"/>
              </w:rPr>
              <w:t>100%</w:t>
            </w:r>
          </w:p>
        </w:tc>
        <w:tc>
          <w:tcPr>
            <w:tcW w:w="151" w:type="pct"/>
            <w:shd w:val="clear" w:color="auto" w:fill="auto"/>
            <w:vAlign w:val="center"/>
          </w:tcPr>
          <w:p w14:paraId="2ACCD67A">
            <w:pPr>
              <w:pStyle w:val="11"/>
              <w:jc w:val="center"/>
              <w:rPr>
                <w:rFonts w:hint="eastAsia" w:ascii="仿宋_GB2312" w:hAnsi="仿宋_GB2312" w:eastAsia="仿宋_GB2312" w:cs="仿宋_GB2312"/>
                <w:snapToGrid w:val="0"/>
                <w:color w:val="000000"/>
                <w:sz w:val="18"/>
                <w:szCs w:val="18"/>
                <w:highlight w:val="none"/>
                <w:lang w:val="en-US" w:eastAsia="en-US" w:bidi="ar-SA"/>
              </w:rPr>
            </w:pPr>
            <w:r>
              <w:rPr>
                <w:rFonts w:hint="eastAsia" w:ascii="仿宋_GB2312" w:hAnsi="仿宋_GB2312" w:eastAsia="仿宋_GB2312" w:cs="仿宋_GB2312"/>
                <w:sz w:val="18"/>
                <w:szCs w:val="18"/>
                <w:highlight w:val="none"/>
              </w:rPr>
              <w:t>1</w:t>
            </w:r>
          </w:p>
        </w:tc>
        <w:tc>
          <w:tcPr>
            <w:tcW w:w="698" w:type="pct"/>
            <w:shd w:val="clear" w:color="auto" w:fill="auto"/>
            <w:vAlign w:val="center"/>
          </w:tcPr>
          <w:p w14:paraId="384847F7">
            <w:pPr>
              <w:pStyle w:val="11"/>
              <w:rPr>
                <w:rFonts w:hint="eastAsia" w:ascii="仿宋_GB2312" w:hAnsi="仿宋_GB2312" w:eastAsia="仿宋_GB2312" w:cs="仿宋_GB2312"/>
                <w:snapToGrid w:val="0"/>
                <w:color w:val="000000"/>
                <w:sz w:val="18"/>
                <w:szCs w:val="18"/>
                <w:highlight w:val="none"/>
                <w:lang w:val="en-US" w:eastAsia="zh-CN" w:bidi="ar-SA"/>
              </w:rPr>
            </w:pPr>
            <w:r>
              <w:rPr>
                <w:rFonts w:hint="eastAsia" w:ascii="仿宋_GB2312" w:hAnsi="仿宋_GB2312" w:eastAsia="仿宋_GB2312" w:cs="仿宋_GB2312"/>
                <w:sz w:val="18"/>
                <w:szCs w:val="18"/>
                <w:highlight w:val="none"/>
                <w:lang w:eastAsia="zh-CN"/>
              </w:rPr>
              <w:t>部门实际在用固定资产总额与所有固定资产总额的比率，用以反映和考核部门固定资产使用效率。</w:t>
            </w:r>
          </w:p>
        </w:tc>
        <w:tc>
          <w:tcPr>
            <w:tcW w:w="1608" w:type="pct"/>
            <w:shd w:val="clear" w:color="auto" w:fill="auto"/>
            <w:vAlign w:val="center"/>
          </w:tcPr>
          <w:p w14:paraId="71F95A27">
            <w:pPr>
              <w:pStyle w:val="11"/>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固定资产利用率=(实际在用固定资产账面总额/所有固定资产账面总额)×100%。</w:t>
            </w:r>
          </w:p>
          <w:p w14:paraId="3DBA6ACA">
            <w:pPr>
              <w:pStyle w:val="11"/>
              <w:rPr>
                <w:rFonts w:hint="eastAsia" w:ascii="仿宋_GB2312" w:hAnsi="仿宋_GB2312" w:eastAsia="仿宋_GB2312" w:cs="仿宋_GB2312"/>
                <w:snapToGrid w:val="0"/>
                <w:color w:val="000000"/>
                <w:sz w:val="18"/>
                <w:szCs w:val="18"/>
                <w:highlight w:val="none"/>
                <w:lang w:val="en-US" w:eastAsia="zh-CN" w:bidi="ar-SA"/>
              </w:rPr>
            </w:pPr>
            <w:r>
              <w:rPr>
                <w:rFonts w:hint="eastAsia" w:ascii="仿宋_GB2312" w:hAnsi="仿宋_GB2312" w:eastAsia="仿宋_GB2312" w:cs="仿宋_GB2312"/>
                <w:sz w:val="18"/>
                <w:szCs w:val="18"/>
                <w:highlight w:val="none"/>
                <w:lang w:eastAsia="zh-CN"/>
              </w:rPr>
              <w:t>评分规则：得分=固定资产利用率×分值。</w:t>
            </w:r>
          </w:p>
        </w:tc>
        <w:tc>
          <w:tcPr>
            <w:tcW w:w="1240" w:type="pct"/>
            <w:shd w:val="clear" w:color="auto" w:fill="auto"/>
            <w:vAlign w:val="center"/>
          </w:tcPr>
          <w:p w14:paraId="21D87635">
            <w:pPr>
              <w:pStyle w:val="11"/>
              <w:rPr>
                <w:rFonts w:hint="eastAsia" w:ascii="仿宋_GB2312" w:hAnsi="仿宋_GB2312" w:eastAsia="仿宋_GB2312" w:cs="仿宋_GB2312"/>
                <w:snapToGrid w:val="0"/>
                <w:color w:val="000000"/>
                <w:sz w:val="18"/>
                <w:szCs w:val="18"/>
                <w:highlight w:val="none"/>
                <w:lang w:val="en-US" w:eastAsia="zh-CN" w:bidi="ar-SA"/>
              </w:rPr>
            </w:pPr>
            <w:r>
              <w:rPr>
                <w:rFonts w:hint="eastAsia" w:ascii="仿宋_GB2312" w:hAnsi="仿宋_GB2312" w:eastAsia="仿宋_GB2312" w:cs="仿宋_GB2312"/>
                <w:sz w:val="18"/>
                <w:szCs w:val="18"/>
                <w:highlight w:val="none"/>
                <w:lang w:eastAsia="zh-CN"/>
              </w:rPr>
              <w:t>固定资产利用率=(实际在用固定资产账面总额</w:t>
            </w:r>
            <w:r>
              <w:rPr>
                <w:rFonts w:hint="eastAsia" w:ascii="仿宋_GB2312" w:hAnsi="仿宋_GB2312" w:eastAsia="仿宋_GB2312" w:cs="仿宋_GB2312"/>
                <w:sz w:val="18"/>
                <w:szCs w:val="18"/>
                <w:highlight w:val="none"/>
                <w:lang w:val="en-US" w:eastAsia="zh-CN"/>
              </w:rPr>
              <w:t>562.22</w:t>
            </w:r>
            <w:r>
              <w:rPr>
                <w:rFonts w:hint="eastAsia" w:ascii="仿宋_GB2312" w:hAnsi="仿宋_GB2312" w:eastAsia="仿宋_GB2312" w:cs="仿宋_GB2312"/>
                <w:sz w:val="18"/>
                <w:szCs w:val="18"/>
                <w:highlight w:val="none"/>
                <w:lang w:eastAsia="zh-CN"/>
              </w:rPr>
              <w:t>万元/所有固定资产账面总额</w:t>
            </w:r>
            <w:r>
              <w:rPr>
                <w:rFonts w:hint="eastAsia" w:ascii="仿宋_GB2312" w:hAnsi="仿宋_GB2312" w:eastAsia="仿宋_GB2312" w:cs="仿宋_GB2312"/>
                <w:sz w:val="18"/>
                <w:szCs w:val="18"/>
                <w:highlight w:val="none"/>
                <w:lang w:val="en-US" w:eastAsia="zh-CN"/>
              </w:rPr>
              <w:t>562.22</w:t>
            </w:r>
            <w:r>
              <w:rPr>
                <w:rFonts w:hint="eastAsia" w:ascii="仿宋_GB2312" w:hAnsi="仿宋_GB2312" w:eastAsia="仿宋_GB2312" w:cs="仿宋_GB2312"/>
                <w:sz w:val="18"/>
                <w:szCs w:val="18"/>
                <w:highlight w:val="none"/>
                <w:lang w:eastAsia="zh-CN"/>
              </w:rPr>
              <w:t>万元)×100%=100%。</w:t>
            </w:r>
          </w:p>
        </w:tc>
        <w:tc>
          <w:tcPr>
            <w:tcW w:w="233" w:type="pct"/>
            <w:shd w:val="clear" w:color="auto" w:fill="auto"/>
            <w:vAlign w:val="center"/>
          </w:tcPr>
          <w:p w14:paraId="4A65B8E8">
            <w:pPr>
              <w:pStyle w:val="11"/>
              <w:jc w:val="center"/>
              <w:rPr>
                <w:rFonts w:hint="eastAsia" w:ascii="仿宋_GB2312" w:hAnsi="仿宋_GB2312" w:eastAsia="仿宋_GB2312" w:cs="仿宋_GB2312"/>
                <w:snapToGrid w:val="0"/>
                <w:color w:val="000000"/>
                <w:sz w:val="18"/>
                <w:szCs w:val="18"/>
                <w:highlight w:val="none"/>
                <w:lang w:val="en-US" w:eastAsia="en-US" w:bidi="ar-SA"/>
              </w:rPr>
            </w:pPr>
            <w:r>
              <w:rPr>
                <w:rFonts w:hint="eastAsia" w:ascii="仿宋_GB2312" w:hAnsi="仿宋_GB2312" w:eastAsia="仿宋_GB2312" w:cs="仿宋_GB2312"/>
                <w:sz w:val="18"/>
                <w:szCs w:val="18"/>
                <w:highlight w:val="none"/>
              </w:rPr>
              <w:t>1</w:t>
            </w:r>
          </w:p>
        </w:tc>
      </w:tr>
      <w:tr w14:paraId="7C8C07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34" w:hRule="atLeast"/>
          <w:jc w:val="center"/>
        </w:trPr>
        <w:tc>
          <w:tcPr>
            <w:tcW w:w="254" w:type="pct"/>
            <w:vMerge w:val="continue"/>
            <w:vAlign w:val="center"/>
          </w:tcPr>
          <w:p w14:paraId="4274121E">
            <w:pPr>
              <w:pStyle w:val="11"/>
              <w:jc w:val="center"/>
              <w:rPr>
                <w:rFonts w:hint="eastAsia" w:ascii="仿宋_GB2312" w:hAnsi="仿宋_GB2312" w:eastAsia="仿宋_GB2312" w:cs="仿宋_GB2312"/>
                <w:sz w:val="18"/>
                <w:szCs w:val="18"/>
                <w:highlight w:val="none"/>
              </w:rPr>
            </w:pPr>
          </w:p>
        </w:tc>
        <w:tc>
          <w:tcPr>
            <w:tcW w:w="297" w:type="pct"/>
            <w:vMerge w:val="restart"/>
            <w:tcBorders>
              <w:top w:val="single" w:color="auto" w:sz="4" w:space="0"/>
              <w:left w:val="single" w:color="auto" w:sz="4" w:space="0"/>
              <w:right w:val="single" w:color="auto" w:sz="4" w:space="0"/>
            </w:tcBorders>
            <w:vAlign w:val="center"/>
          </w:tcPr>
          <w:p w14:paraId="0ED14680">
            <w:pPr>
              <w:pStyle w:val="11"/>
              <w:jc w:val="center"/>
              <w:rPr>
                <w:rFonts w:hint="eastAsia" w:ascii="仿宋_GB2312" w:hAnsi="仿宋_GB2312" w:eastAsia="仿宋_GB2312" w:cs="仿宋_GB2312"/>
                <w:sz w:val="18"/>
                <w:szCs w:val="18"/>
                <w:highlight w:val="none"/>
              </w:rPr>
            </w:pPr>
            <w:r>
              <w:rPr>
                <w:rFonts w:hint="eastAsia" w:ascii="仿宋_GB2312" w:hAnsi="仿宋_GB2312" w:eastAsia="仿宋_GB2312" w:cs="仿宋_GB2312"/>
                <w:sz w:val="18"/>
                <w:szCs w:val="18"/>
                <w:highlight w:val="none"/>
              </w:rPr>
              <w:t>B4</w:t>
            </w:r>
          </w:p>
          <w:p w14:paraId="045BE7F6">
            <w:pPr>
              <w:pStyle w:val="11"/>
              <w:jc w:val="center"/>
              <w:rPr>
                <w:rFonts w:hint="eastAsia" w:ascii="仿宋_GB2312" w:hAnsi="仿宋_GB2312" w:eastAsia="仿宋_GB2312" w:cs="仿宋_GB2312"/>
                <w:sz w:val="18"/>
                <w:szCs w:val="18"/>
                <w:highlight w:val="none"/>
              </w:rPr>
            </w:pPr>
            <w:r>
              <w:rPr>
                <w:rFonts w:hint="eastAsia" w:ascii="仿宋_GB2312" w:hAnsi="仿宋_GB2312" w:eastAsia="仿宋_GB2312" w:cs="仿宋_GB2312"/>
                <w:sz w:val="18"/>
                <w:szCs w:val="18"/>
                <w:highlight w:val="none"/>
              </w:rPr>
              <w:t>项目管理</w:t>
            </w:r>
          </w:p>
          <w:p w14:paraId="0A4D538B">
            <w:pPr>
              <w:pStyle w:val="11"/>
              <w:jc w:val="center"/>
              <w:rPr>
                <w:rFonts w:hint="eastAsia" w:ascii="仿宋_GB2312" w:hAnsi="仿宋_GB2312" w:eastAsia="仿宋_GB2312" w:cs="仿宋_GB2312"/>
                <w:sz w:val="18"/>
                <w:szCs w:val="18"/>
                <w:highlight w:val="none"/>
              </w:rPr>
            </w:pPr>
            <w:r>
              <w:rPr>
                <w:rFonts w:hint="eastAsia" w:ascii="仿宋_GB2312" w:hAnsi="仿宋_GB2312" w:eastAsia="仿宋_GB2312" w:cs="仿宋_GB2312"/>
                <w:sz w:val="18"/>
                <w:szCs w:val="18"/>
                <w:highlight w:val="none"/>
              </w:rPr>
              <w:t>(3)</w:t>
            </w:r>
          </w:p>
        </w:tc>
        <w:tc>
          <w:tcPr>
            <w:tcW w:w="284" w:type="pct"/>
            <w:tcBorders>
              <w:left w:val="single" w:color="auto" w:sz="4" w:space="0"/>
            </w:tcBorders>
            <w:shd w:val="clear" w:color="auto" w:fill="auto"/>
            <w:vAlign w:val="center"/>
          </w:tcPr>
          <w:p w14:paraId="6C72D626">
            <w:pPr>
              <w:pStyle w:val="11"/>
              <w:jc w:val="center"/>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B41</w:t>
            </w:r>
          </w:p>
          <w:p w14:paraId="4DA33DA3">
            <w:pPr>
              <w:pStyle w:val="11"/>
              <w:jc w:val="center"/>
              <w:rPr>
                <w:rFonts w:hint="eastAsia" w:ascii="仿宋_GB2312" w:hAnsi="仿宋_GB2312" w:eastAsia="仿宋_GB2312" w:cs="仿宋_GB2312"/>
                <w:snapToGrid w:val="0"/>
                <w:color w:val="000000"/>
                <w:sz w:val="18"/>
                <w:szCs w:val="18"/>
                <w:highlight w:val="none"/>
                <w:lang w:val="en-US" w:eastAsia="zh-CN" w:bidi="ar-SA"/>
              </w:rPr>
            </w:pPr>
            <w:r>
              <w:rPr>
                <w:rFonts w:hint="eastAsia" w:ascii="仿宋_GB2312" w:hAnsi="仿宋_GB2312" w:eastAsia="仿宋_GB2312" w:cs="仿宋_GB2312"/>
                <w:sz w:val="18"/>
                <w:szCs w:val="18"/>
                <w:highlight w:val="none"/>
                <w:lang w:eastAsia="zh-CN"/>
              </w:rPr>
              <w:t>项目管理制度健全性</w:t>
            </w:r>
          </w:p>
        </w:tc>
        <w:tc>
          <w:tcPr>
            <w:tcW w:w="231" w:type="pct"/>
            <w:shd w:val="clear" w:color="auto" w:fill="auto"/>
            <w:vAlign w:val="center"/>
          </w:tcPr>
          <w:p w14:paraId="45B82751">
            <w:pPr>
              <w:pStyle w:val="11"/>
              <w:jc w:val="center"/>
              <w:rPr>
                <w:rFonts w:hint="eastAsia" w:ascii="仿宋_GB2312" w:hAnsi="仿宋_GB2312" w:eastAsia="仿宋_GB2312" w:cs="仿宋_GB2312"/>
                <w:snapToGrid w:val="0"/>
                <w:color w:val="000000"/>
                <w:sz w:val="18"/>
                <w:szCs w:val="18"/>
                <w:highlight w:val="none"/>
                <w:lang w:val="en-US" w:eastAsia="en-US" w:bidi="ar-SA"/>
              </w:rPr>
            </w:pPr>
            <w:r>
              <w:rPr>
                <w:rFonts w:hint="eastAsia" w:ascii="仿宋_GB2312" w:hAnsi="仿宋_GB2312" w:eastAsia="仿宋_GB2312" w:cs="仿宋_GB2312"/>
                <w:sz w:val="18"/>
                <w:szCs w:val="18"/>
                <w:highlight w:val="none"/>
              </w:rPr>
              <w:t>健全</w:t>
            </w:r>
          </w:p>
        </w:tc>
        <w:tc>
          <w:tcPr>
            <w:tcW w:w="151" w:type="pct"/>
            <w:shd w:val="clear" w:color="auto" w:fill="auto"/>
            <w:vAlign w:val="center"/>
          </w:tcPr>
          <w:p w14:paraId="7B638C88">
            <w:pPr>
              <w:pStyle w:val="11"/>
              <w:jc w:val="center"/>
              <w:rPr>
                <w:rFonts w:hint="eastAsia" w:ascii="仿宋_GB2312" w:hAnsi="仿宋_GB2312" w:eastAsia="仿宋_GB2312" w:cs="仿宋_GB2312"/>
                <w:snapToGrid w:val="0"/>
                <w:color w:val="000000"/>
                <w:sz w:val="18"/>
                <w:szCs w:val="18"/>
                <w:highlight w:val="none"/>
                <w:lang w:val="en-US" w:eastAsia="en-US" w:bidi="ar-SA"/>
              </w:rPr>
            </w:pPr>
            <w:r>
              <w:rPr>
                <w:rFonts w:hint="eastAsia" w:ascii="仿宋_GB2312" w:hAnsi="仿宋_GB2312" w:eastAsia="仿宋_GB2312" w:cs="仿宋_GB2312"/>
                <w:sz w:val="18"/>
                <w:szCs w:val="18"/>
                <w:highlight w:val="none"/>
              </w:rPr>
              <w:t>1</w:t>
            </w:r>
          </w:p>
        </w:tc>
        <w:tc>
          <w:tcPr>
            <w:tcW w:w="698" w:type="pct"/>
            <w:shd w:val="clear" w:color="auto" w:fill="auto"/>
            <w:vAlign w:val="center"/>
          </w:tcPr>
          <w:p w14:paraId="3A148EC7">
            <w:pPr>
              <w:pStyle w:val="11"/>
              <w:rPr>
                <w:rFonts w:hint="eastAsia" w:ascii="仿宋_GB2312" w:hAnsi="仿宋_GB2312" w:eastAsia="仿宋_GB2312" w:cs="仿宋_GB2312"/>
                <w:snapToGrid w:val="0"/>
                <w:color w:val="000000"/>
                <w:sz w:val="18"/>
                <w:szCs w:val="18"/>
                <w:highlight w:val="none"/>
                <w:lang w:val="en-US" w:eastAsia="zh-CN" w:bidi="ar-SA"/>
              </w:rPr>
            </w:pPr>
            <w:r>
              <w:rPr>
                <w:rFonts w:hint="eastAsia" w:ascii="仿宋_GB2312" w:hAnsi="仿宋_GB2312" w:eastAsia="仿宋_GB2312" w:cs="仿宋_GB2312"/>
                <w:sz w:val="18"/>
                <w:szCs w:val="18"/>
                <w:highlight w:val="none"/>
                <w:lang w:eastAsia="zh-CN"/>
              </w:rPr>
              <w:t>部门项目管理制度是否健全，用以反映和考核部门项目管理制度对项目顺利实施的保障情况。</w:t>
            </w:r>
          </w:p>
        </w:tc>
        <w:tc>
          <w:tcPr>
            <w:tcW w:w="1608" w:type="pct"/>
            <w:shd w:val="clear" w:color="auto" w:fill="auto"/>
            <w:vAlign w:val="center"/>
          </w:tcPr>
          <w:p w14:paraId="641E601E">
            <w:pPr>
              <w:pStyle w:val="11"/>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评价要点：</w:t>
            </w:r>
          </w:p>
          <w:p w14:paraId="3C57BCA3">
            <w:pPr>
              <w:pStyle w:val="11"/>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1.是否已制定或具有相应的项目管理制度；</w:t>
            </w:r>
          </w:p>
          <w:p w14:paraId="59B40EF2">
            <w:pPr>
              <w:pStyle w:val="11"/>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2.项目管理制度是否合法、合规、完整。</w:t>
            </w:r>
          </w:p>
          <w:p w14:paraId="01977BFA">
            <w:pPr>
              <w:pStyle w:val="11"/>
              <w:rPr>
                <w:rFonts w:hint="eastAsia" w:ascii="仿宋_GB2312" w:hAnsi="仿宋_GB2312" w:eastAsia="仿宋_GB2312" w:cs="仿宋_GB2312"/>
                <w:snapToGrid w:val="0"/>
                <w:color w:val="000000"/>
                <w:sz w:val="18"/>
                <w:szCs w:val="18"/>
                <w:highlight w:val="none"/>
                <w:lang w:val="en-US" w:eastAsia="zh-CN" w:bidi="ar-SA"/>
              </w:rPr>
            </w:pPr>
            <w:r>
              <w:rPr>
                <w:rFonts w:hint="eastAsia" w:ascii="仿宋_GB2312" w:hAnsi="仿宋_GB2312" w:eastAsia="仿宋_GB2312" w:cs="仿宋_GB2312"/>
                <w:sz w:val="18"/>
                <w:szCs w:val="18"/>
                <w:highlight w:val="none"/>
                <w:lang w:eastAsia="zh-CN"/>
              </w:rPr>
              <w:t>评分规则：以上评价要点各占1/2分值，每个要点执行情况分为达成、部分达成、未达成三档，分别按分值的100%-80%(含)、80%-60%(含)、60%-0%合理确定分值。</w:t>
            </w:r>
          </w:p>
        </w:tc>
        <w:tc>
          <w:tcPr>
            <w:tcW w:w="1240" w:type="pct"/>
            <w:shd w:val="clear" w:color="auto" w:fill="auto"/>
            <w:vAlign w:val="center"/>
          </w:tcPr>
          <w:p w14:paraId="5CE0A88C">
            <w:pPr>
              <w:pStyle w:val="11"/>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1.已制定相应的项目管理制度，如《南京仲裁委仲裁员办案报酬管理办法》等，达成；</w:t>
            </w:r>
          </w:p>
          <w:p w14:paraId="09DCF460">
            <w:pPr>
              <w:pStyle w:val="11"/>
              <w:rPr>
                <w:rFonts w:hint="eastAsia" w:ascii="仿宋_GB2312" w:hAnsi="仿宋_GB2312" w:eastAsia="仿宋_GB2312" w:cs="仿宋_GB2312"/>
                <w:snapToGrid w:val="0"/>
                <w:color w:val="000000"/>
                <w:sz w:val="18"/>
                <w:szCs w:val="18"/>
                <w:highlight w:val="none"/>
                <w:lang w:val="en-US" w:eastAsia="zh-CN" w:bidi="ar-SA"/>
              </w:rPr>
            </w:pPr>
            <w:r>
              <w:rPr>
                <w:rFonts w:hint="eastAsia" w:ascii="仿宋_GB2312" w:hAnsi="仿宋_GB2312" w:eastAsia="仿宋_GB2312" w:cs="仿宋_GB2312"/>
                <w:sz w:val="18"/>
                <w:szCs w:val="18"/>
                <w:highlight w:val="none"/>
                <w:lang w:eastAsia="zh-CN"/>
              </w:rPr>
              <w:t>2.项目管理制度是否合法、合规、完整，达成。</w:t>
            </w:r>
          </w:p>
        </w:tc>
        <w:tc>
          <w:tcPr>
            <w:tcW w:w="233" w:type="pct"/>
            <w:shd w:val="clear" w:color="auto" w:fill="auto"/>
            <w:vAlign w:val="center"/>
          </w:tcPr>
          <w:p w14:paraId="4FAA0E37">
            <w:pPr>
              <w:pStyle w:val="11"/>
              <w:jc w:val="center"/>
              <w:rPr>
                <w:rFonts w:hint="eastAsia" w:ascii="仿宋_GB2312" w:hAnsi="仿宋_GB2312" w:eastAsia="仿宋_GB2312" w:cs="仿宋_GB2312"/>
                <w:snapToGrid w:val="0"/>
                <w:color w:val="000000"/>
                <w:sz w:val="18"/>
                <w:szCs w:val="18"/>
                <w:highlight w:val="none"/>
                <w:lang w:val="en-US" w:eastAsia="zh-CN" w:bidi="ar-SA"/>
              </w:rPr>
            </w:pPr>
            <w:r>
              <w:rPr>
                <w:rFonts w:hint="eastAsia" w:ascii="仿宋_GB2312" w:hAnsi="仿宋_GB2312" w:eastAsia="仿宋_GB2312" w:cs="仿宋_GB2312"/>
                <w:sz w:val="18"/>
                <w:szCs w:val="18"/>
                <w:highlight w:val="none"/>
                <w:lang w:val="en-US" w:eastAsia="zh-CN"/>
              </w:rPr>
              <w:t>1</w:t>
            </w:r>
          </w:p>
        </w:tc>
      </w:tr>
      <w:tr w14:paraId="7CF4F5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32" w:hRule="atLeast"/>
          <w:jc w:val="center"/>
        </w:trPr>
        <w:tc>
          <w:tcPr>
            <w:tcW w:w="254" w:type="pct"/>
            <w:vMerge w:val="continue"/>
            <w:vAlign w:val="center"/>
          </w:tcPr>
          <w:p w14:paraId="34533F32">
            <w:pPr>
              <w:pStyle w:val="11"/>
              <w:jc w:val="center"/>
              <w:rPr>
                <w:rFonts w:hint="eastAsia" w:ascii="仿宋_GB2312" w:hAnsi="仿宋_GB2312" w:eastAsia="仿宋_GB2312" w:cs="仿宋_GB2312"/>
                <w:sz w:val="18"/>
                <w:szCs w:val="18"/>
                <w:highlight w:val="none"/>
              </w:rPr>
            </w:pPr>
          </w:p>
        </w:tc>
        <w:tc>
          <w:tcPr>
            <w:tcW w:w="297" w:type="pct"/>
            <w:vMerge w:val="continue"/>
            <w:tcBorders>
              <w:left w:val="single" w:color="auto" w:sz="4" w:space="0"/>
              <w:bottom w:val="single" w:color="auto" w:sz="4" w:space="0"/>
              <w:right w:val="single" w:color="auto" w:sz="4" w:space="0"/>
            </w:tcBorders>
            <w:vAlign w:val="center"/>
          </w:tcPr>
          <w:p w14:paraId="2EF3F539">
            <w:pPr>
              <w:pStyle w:val="11"/>
              <w:jc w:val="center"/>
              <w:rPr>
                <w:rFonts w:hint="eastAsia" w:ascii="仿宋_GB2312" w:hAnsi="仿宋_GB2312" w:eastAsia="仿宋_GB2312" w:cs="仿宋_GB2312"/>
                <w:sz w:val="18"/>
                <w:szCs w:val="18"/>
                <w:highlight w:val="none"/>
              </w:rPr>
            </w:pPr>
          </w:p>
        </w:tc>
        <w:tc>
          <w:tcPr>
            <w:tcW w:w="284" w:type="pct"/>
            <w:tcBorders>
              <w:left w:val="single" w:color="auto" w:sz="4" w:space="0"/>
            </w:tcBorders>
            <w:shd w:val="clear" w:color="auto" w:fill="auto"/>
            <w:vAlign w:val="center"/>
          </w:tcPr>
          <w:p w14:paraId="3245F905">
            <w:pPr>
              <w:pStyle w:val="11"/>
              <w:jc w:val="center"/>
              <w:rPr>
                <w:rFonts w:hint="eastAsia" w:ascii="仿宋_GB2312" w:hAnsi="仿宋_GB2312" w:eastAsia="仿宋_GB2312" w:cs="仿宋_GB2312"/>
                <w:sz w:val="18"/>
                <w:szCs w:val="18"/>
                <w:highlight w:val="none"/>
              </w:rPr>
            </w:pPr>
            <w:r>
              <w:rPr>
                <w:rFonts w:hint="eastAsia" w:ascii="仿宋_GB2312" w:hAnsi="仿宋_GB2312" w:eastAsia="仿宋_GB2312" w:cs="仿宋_GB2312"/>
                <w:sz w:val="18"/>
                <w:szCs w:val="18"/>
                <w:highlight w:val="none"/>
              </w:rPr>
              <w:t>B42</w:t>
            </w:r>
          </w:p>
          <w:p w14:paraId="323A1E0B">
            <w:pPr>
              <w:pStyle w:val="11"/>
              <w:jc w:val="center"/>
              <w:rPr>
                <w:rFonts w:hint="eastAsia" w:ascii="仿宋_GB2312" w:hAnsi="仿宋_GB2312" w:eastAsia="仿宋_GB2312" w:cs="仿宋_GB2312"/>
                <w:sz w:val="18"/>
                <w:szCs w:val="18"/>
                <w:highlight w:val="none"/>
              </w:rPr>
            </w:pPr>
            <w:r>
              <w:rPr>
                <w:rFonts w:hint="eastAsia" w:ascii="仿宋_GB2312" w:hAnsi="仿宋_GB2312" w:eastAsia="仿宋_GB2312" w:cs="仿宋_GB2312"/>
                <w:sz w:val="18"/>
                <w:szCs w:val="18"/>
                <w:highlight w:val="none"/>
              </w:rPr>
              <w:t>项目管理</w:t>
            </w:r>
          </w:p>
          <w:p w14:paraId="32C7C71A">
            <w:pPr>
              <w:pStyle w:val="11"/>
              <w:jc w:val="center"/>
              <w:rPr>
                <w:rFonts w:hint="eastAsia" w:ascii="仿宋_GB2312" w:hAnsi="仿宋_GB2312" w:eastAsia="仿宋_GB2312" w:cs="仿宋_GB2312"/>
                <w:sz w:val="18"/>
                <w:szCs w:val="18"/>
                <w:highlight w:val="none"/>
              </w:rPr>
            </w:pPr>
            <w:r>
              <w:rPr>
                <w:rFonts w:hint="eastAsia" w:ascii="仿宋_GB2312" w:hAnsi="仿宋_GB2312" w:eastAsia="仿宋_GB2312" w:cs="仿宋_GB2312"/>
                <w:sz w:val="18"/>
                <w:szCs w:val="18"/>
                <w:highlight w:val="none"/>
              </w:rPr>
              <w:t>制度执行</w:t>
            </w:r>
          </w:p>
          <w:p w14:paraId="60D7F20C">
            <w:pPr>
              <w:pStyle w:val="11"/>
              <w:jc w:val="center"/>
              <w:rPr>
                <w:rFonts w:hint="eastAsia" w:ascii="仿宋_GB2312" w:hAnsi="仿宋_GB2312" w:eastAsia="仿宋_GB2312" w:cs="仿宋_GB2312"/>
                <w:snapToGrid w:val="0"/>
                <w:color w:val="000000"/>
                <w:sz w:val="18"/>
                <w:szCs w:val="18"/>
                <w:highlight w:val="none"/>
                <w:lang w:val="en-US" w:eastAsia="en-US" w:bidi="ar-SA"/>
              </w:rPr>
            </w:pPr>
            <w:r>
              <w:rPr>
                <w:rFonts w:hint="eastAsia" w:ascii="仿宋_GB2312" w:hAnsi="仿宋_GB2312" w:eastAsia="仿宋_GB2312" w:cs="仿宋_GB2312"/>
                <w:sz w:val="18"/>
                <w:szCs w:val="18"/>
                <w:highlight w:val="none"/>
              </w:rPr>
              <w:t>规范性</w:t>
            </w:r>
          </w:p>
        </w:tc>
        <w:tc>
          <w:tcPr>
            <w:tcW w:w="231" w:type="pct"/>
            <w:shd w:val="clear" w:color="auto" w:fill="auto"/>
            <w:vAlign w:val="center"/>
          </w:tcPr>
          <w:p w14:paraId="74385104">
            <w:pPr>
              <w:pStyle w:val="11"/>
              <w:jc w:val="center"/>
              <w:rPr>
                <w:rFonts w:hint="eastAsia" w:ascii="仿宋_GB2312" w:hAnsi="仿宋_GB2312" w:eastAsia="仿宋_GB2312" w:cs="仿宋_GB2312"/>
                <w:snapToGrid w:val="0"/>
                <w:color w:val="000000"/>
                <w:sz w:val="18"/>
                <w:szCs w:val="18"/>
                <w:highlight w:val="none"/>
                <w:lang w:val="en-US" w:eastAsia="en-US" w:bidi="ar-SA"/>
              </w:rPr>
            </w:pPr>
            <w:r>
              <w:rPr>
                <w:rFonts w:hint="eastAsia" w:ascii="仿宋_GB2312" w:hAnsi="仿宋_GB2312" w:eastAsia="仿宋_GB2312" w:cs="仿宋_GB2312"/>
                <w:sz w:val="18"/>
                <w:szCs w:val="18"/>
                <w:highlight w:val="none"/>
              </w:rPr>
              <w:t>规范</w:t>
            </w:r>
          </w:p>
        </w:tc>
        <w:tc>
          <w:tcPr>
            <w:tcW w:w="151" w:type="pct"/>
            <w:shd w:val="clear" w:color="auto" w:fill="auto"/>
            <w:vAlign w:val="center"/>
          </w:tcPr>
          <w:p w14:paraId="15149E21">
            <w:pPr>
              <w:pStyle w:val="11"/>
              <w:jc w:val="center"/>
              <w:rPr>
                <w:rFonts w:hint="eastAsia" w:ascii="仿宋_GB2312" w:hAnsi="仿宋_GB2312" w:eastAsia="仿宋_GB2312" w:cs="仿宋_GB2312"/>
                <w:snapToGrid w:val="0"/>
                <w:color w:val="000000"/>
                <w:sz w:val="18"/>
                <w:szCs w:val="18"/>
                <w:highlight w:val="none"/>
                <w:lang w:val="en-US" w:eastAsia="en-US" w:bidi="ar-SA"/>
              </w:rPr>
            </w:pPr>
            <w:r>
              <w:rPr>
                <w:rFonts w:hint="eastAsia" w:ascii="仿宋_GB2312" w:hAnsi="仿宋_GB2312" w:eastAsia="仿宋_GB2312" w:cs="仿宋_GB2312"/>
                <w:sz w:val="18"/>
                <w:szCs w:val="18"/>
                <w:highlight w:val="none"/>
              </w:rPr>
              <w:t>2</w:t>
            </w:r>
          </w:p>
        </w:tc>
        <w:tc>
          <w:tcPr>
            <w:tcW w:w="698" w:type="pct"/>
            <w:shd w:val="clear" w:color="auto" w:fill="auto"/>
            <w:vAlign w:val="center"/>
          </w:tcPr>
          <w:p w14:paraId="2612314B">
            <w:pPr>
              <w:pStyle w:val="11"/>
              <w:rPr>
                <w:rFonts w:hint="eastAsia" w:ascii="仿宋_GB2312" w:hAnsi="仿宋_GB2312" w:eastAsia="仿宋_GB2312" w:cs="仿宋_GB2312"/>
                <w:sz w:val="18"/>
                <w:szCs w:val="18"/>
                <w:highlight w:val="none"/>
                <w:lang w:eastAsia="zh-CN"/>
              </w:rPr>
            </w:pPr>
          </w:p>
          <w:p w14:paraId="464D021C">
            <w:pPr>
              <w:pStyle w:val="11"/>
              <w:rPr>
                <w:rFonts w:hint="eastAsia" w:ascii="仿宋_GB2312" w:hAnsi="仿宋_GB2312" w:eastAsia="仿宋_GB2312" w:cs="仿宋_GB2312"/>
                <w:snapToGrid w:val="0"/>
                <w:color w:val="000000"/>
                <w:sz w:val="18"/>
                <w:szCs w:val="18"/>
                <w:highlight w:val="none"/>
                <w:lang w:val="en-US" w:eastAsia="zh-CN" w:bidi="ar-SA"/>
              </w:rPr>
            </w:pPr>
            <w:r>
              <w:rPr>
                <w:rFonts w:hint="eastAsia" w:ascii="仿宋_GB2312" w:hAnsi="仿宋_GB2312" w:eastAsia="仿宋_GB2312" w:cs="仿宋_GB2312"/>
                <w:sz w:val="18"/>
                <w:szCs w:val="18"/>
                <w:highlight w:val="none"/>
                <w:lang w:eastAsia="zh-CN"/>
              </w:rPr>
              <w:t>项目实施是否符合相关管理规定，用以反映和考核相关管理制度的规范执行情况。</w:t>
            </w:r>
          </w:p>
        </w:tc>
        <w:tc>
          <w:tcPr>
            <w:tcW w:w="1608" w:type="pct"/>
            <w:shd w:val="clear" w:color="auto" w:fill="auto"/>
            <w:vAlign w:val="center"/>
          </w:tcPr>
          <w:p w14:paraId="66AC0909">
            <w:pPr>
              <w:pStyle w:val="11"/>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评价要点：</w:t>
            </w:r>
          </w:p>
          <w:p w14:paraId="5838F2EA">
            <w:pPr>
              <w:pStyle w:val="11"/>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1.项目管理工作机制是否健全，沟通协调是否顺畅；</w:t>
            </w:r>
          </w:p>
          <w:p w14:paraId="21F87402">
            <w:pPr>
              <w:pStyle w:val="11"/>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2.项目是否按照要求规范严格执行制度，包括可们性论证、概算、预算、施工设计、资金拨付、组织申报、政府采购、招投标、监理、中期检查、竣工验收、公开公示等。</w:t>
            </w:r>
          </w:p>
          <w:p w14:paraId="4D632AC6">
            <w:pPr>
              <w:pStyle w:val="11"/>
              <w:rPr>
                <w:rFonts w:hint="eastAsia" w:ascii="仿宋_GB2312" w:hAnsi="仿宋_GB2312" w:eastAsia="仿宋_GB2312" w:cs="仿宋_GB2312"/>
                <w:snapToGrid w:val="0"/>
                <w:color w:val="000000"/>
                <w:sz w:val="18"/>
                <w:szCs w:val="18"/>
                <w:highlight w:val="none"/>
                <w:lang w:val="en-US" w:eastAsia="zh-CN" w:bidi="ar-SA"/>
              </w:rPr>
            </w:pPr>
            <w:r>
              <w:rPr>
                <w:rFonts w:hint="eastAsia" w:ascii="仿宋_GB2312" w:hAnsi="仿宋_GB2312" w:eastAsia="仿宋_GB2312" w:cs="仿宋_GB2312"/>
                <w:sz w:val="18"/>
                <w:szCs w:val="18"/>
                <w:highlight w:val="none"/>
                <w:lang w:eastAsia="zh-CN"/>
              </w:rPr>
              <w:t>评分规则：以上评价要点各占1/2分值，每个要点执行情况分为达成、部分达成、未达成三档，分别按分值的100%-80%(含)、80%-60%(含)、60%-0%合理确定分值。</w:t>
            </w:r>
          </w:p>
        </w:tc>
        <w:tc>
          <w:tcPr>
            <w:tcW w:w="1240" w:type="pct"/>
            <w:shd w:val="clear" w:color="auto" w:fill="auto"/>
            <w:vAlign w:val="center"/>
          </w:tcPr>
          <w:p w14:paraId="0DE24CD3">
            <w:pPr>
              <w:pStyle w:val="11"/>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1.项目管理工作机制健全，沟通协调顺畅，达成；</w:t>
            </w:r>
          </w:p>
          <w:p w14:paraId="07F2EDED">
            <w:pPr>
              <w:pStyle w:val="11"/>
              <w:rPr>
                <w:rFonts w:hint="eastAsia" w:ascii="仿宋_GB2312" w:hAnsi="仿宋_GB2312" w:eastAsia="仿宋_GB2312" w:cs="仿宋_GB2312"/>
                <w:snapToGrid w:val="0"/>
                <w:color w:val="000000"/>
                <w:sz w:val="18"/>
                <w:szCs w:val="18"/>
                <w:highlight w:val="none"/>
                <w:lang w:val="en-US" w:eastAsia="zh-CN" w:bidi="ar-SA"/>
              </w:rPr>
            </w:pPr>
            <w:r>
              <w:rPr>
                <w:rFonts w:hint="eastAsia" w:ascii="仿宋_GB2312" w:hAnsi="仿宋_GB2312" w:eastAsia="仿宋_GB2312" w:cs="仿宋_GB2312"/>
                <w:sz w:val="18"/>
                <w:szCs w:val="18"/>
                <w:highlight w:val="none"/>
                <w:lang w:eastAsia="zh-CN"/>
              </w:rPr>
              <w:t>2.项目按照要求规范严格地执行制度，包括可行性论证、概算、预算、施工设计、资金拨付、组织申报、政府采购、招投标、监理、中期检查、竣工验收、公开公示等，达成。</w:t>
            </w:r>
          </w:p>
        </w:tc>
        <w:tc>
          <w:tcPr>
            <w:tcW w:w="233" w:type="pct"/>
            <w:shd w:val="clear" w:color="auto" w:fill="auto"/>
            <w:vAlign w:val="center"/>
          </w:tcPr>
          <w:p w14:paraId="40200809">
            <w:pPr>
              <w:pStyle w:val="11"/>
              <w:jc w:val="center"/>
              <w:rPr>
                <w:rFonts w:hint="eastAsia" w:ascii="仿宋_GB2312" w:hAnsi="仿宋_GB2312" w:eastAsia="仿宋_GB2312" w:cs="仿宋_GB2312"/>
                <w:snapToGrid w:val="0"/>
                <w:color w:val="000000"/>
                <w:sz w:val="18"/>
                <w:szCs w:val="18"/>
                <w:highlight w:val="none"/>
                <w:lang w:val="en-US" w:eastAsia="en-US" w:bidi="ar-SA"/>
              </w:rPr>
            </w:pPr>
            <w:r>
              <w:rPr>
                <w:rFonts w:hint="eastAsia" w:ascii="仿宋_GB2312" w:hAnsi="仿宋_GB2312" w:eastAsia="仿宋_GB2312" w:cs="仿宋_GB2312"/>
                <w:sz w:val="18"/>
                <w:szCs w:val="18"/>
                <w:highlight w:val="none"/>
              </w:rPr>
              <w:t>2</w:t>
            </w:r>
          </w:p>
        </w:tc>
      </w:tr>
      <w:tr w14:paraId="65A506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54" w:hRule="atLeast"/>
          <w:jc w:val="center"/>
        </w:trPr>
        <w:tc>
          <w:tcPr>
            <w:tcW w:w="254" w:type="pct"/>
            <w:vMerge w:val="continue"/>
            <w:vAlign w:val="center"/>
          </w:tcPr>
          <w:p w14:paraId="756B54A3">
            <w:pPr>
              <w:pStyle w:val="11"/>
              <w:jc w:val="center"/>
              <w:rPr>
                <w:rFonts w:hint="eastAsia" w:ascii="仿宋_GB2312" w:hAnsi="仿宋_GB2312" w:eastAsia="仿宋_GB2312" w:cs="仿宋_GB2312"/>
                <w:sz w:val="18"/>
                <w:szCs w:val="18"/>
                <w:highlight w:val="none"/>
              </w:rPr>
            </w:pPr>
          </w:p>
        </w:tc>
        <w:tc>
          <w:tcPr>
            <w:tcW w:w="297" w:type="pct"/>
            <w:vMerge w:val="restart"/>
            <w:tcBorders>
              <w:top w:val="single" w:color="auto" w:sz="4" w:space="0"/>
              <w:left w:val="single" w:color="auto" w:sz="4" w:space="0"/>
              <w:right w:val="single" w:color="auto" w:sz="4" w:space="0"/>
            </w:tcBorders>
            <w:vAlign w:val="center"/>
          </w:tcPr>
          <w:p w14:paraId="79D3B4D4">
            <w:pPr>
              <w:pStyle w:val="11"/>
              <w:jc w:val="center"/>
              <w:rPr>
                <w:rFonts w:hint="eastAsia" w:ascii="仿宋_GB2312" w:hAnsi="仿宋_GB2312" w:eastAsia="仿宋_GB2312" w:cs="仿宋_GB2312"/>
                <w:sz w:val="18"/>
                <w:szCs w:val="18"/>
                <w:highlight w:val="none"/>
              </w:rPr>
            </w:pPr>
            <w:r>
              <w:rPr>
                <w:rFonts w:hint="eastAsia" w:ascii="仿宋_GB2312" w:hAnsi="仿宋_GB2312" w:eastAsia="仿宋_GB2312" w:cs="仿宋_GB2312"/>
                <w:sz w:val="18"/>
                <w:szCs w:val="18"/>
                <w:highlight w:val="none"/>
              </w:rPr>
              <w:t>B5</w:t>
            </w:r>
          </w:p>
          <w:p w14:paraId="3055D01D">
            <w:pPr>
              <w:pStyle w:val="11"/>
              <w:jc w:val="center"/>
              <w:rPr>
                <w:rFonts w:hint="eastAsia" w:ascii="仿宋_GB2312" w:hAnsi="仿宋_GB2312" w:eastAsia="仿宋_GB2312" w:cs="仿宋_GB2312"/>
                <w:sz w:val="18"/>
                <w:szCs w:val="18"/>
                <w:highlight w:val="none"/>
              </w:rPr>
            </w:pPr>
            <w:r>
              <w:rPr>
                <w:rFonts w:hint="eastAsia" w:ascii="仿宋_GB2312" w:hAnsi="仿宋_GB2312" w:eastAsia="仿宋_GB2312" w:cs="仿宋_GB2312"/>
                <w:sz w:val="18"/>
                <w:szCs w:val="18"/>
                <w:highlight w:val="none"/>
              </w:rPr>
              <w:t>人员管理</w:t>
            </w:r>
          </w:p>
          <w:p w14:paraId="570311C9">
            <w:pPr>
              <w:pStyle w:val="11"/>
              <w:jc w:val="center"/>
              <w:rPr>
                <w:rFonts w:hint="eastAsia" w:ascii="仿宋_GB2312" w:hAnsi="仿宋_GB2312" w:eastAsia="仿宋_GB2312" w:cs="仿宋_GB2312"/>
                <w:sz w:val="18"/>
                <w:szCs w:val="18"/>
                <w:highlight w:val="none"/>
              </w:rPr>
            </w:pPr>
            <w:r>
              <w:rPr>
                <w:rFonts w:hint="eastAsia" w:ascii="仿宋_GB2312" w:hAnsi="仿宋_GB2312" w:eastAsia="仿宋_GB2312" w:cs="仿宋_GB2312"/>
                <w:sz w:val="18"/>
                <w:szCs w:val="18"/>
                <w:highlight w:val="none"/>
              </w:rPr>
              <w:t>(3)</w:t>
            </w:r>
          </w:p>
        </w:tc>
        <w:tc>
          <w:tcPr>
            <w:tcW w:w="284" w:type="pct"/>
            <w:tcBorders>
              <w:left w:val="single" w:color="auto" w:sz="4" w:space="0"/>
            </w:tcBorders>
            <w:shd w:val="clear" w:color="auto" w:fill="auto"/>
            <w:vAlign w:val="center"/>
          </w:tcPr>
          <w:p w14:paraId="2D3932C8">
            <w:pPr>
              <w:pStyle w:val="11"/>
              <w:jc w:val="center"/>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B51</w:t>
            </w:r>
          </w:p>
          <w:p w14:paraId="2CB8C55D">
            <w:pPr>
              <w:pStyle w:val="11"/>
              <w:jc w:val="center"/>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人员管理</w:t>
            </w:r>
          </w:p>
          <w:p w14:paraId="40E5DB88">
            <w:pPr>
              <w:pStyle w:val="11"/>
              <w:jc w:val="center"/>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制度健全</w:t>
            </w:r>
          </w:p>
          <w:p w14:paraId="68185B77">
            <w:pPr>
              <w:pStyle w:val="11"/>
              <w:jc w:val="center"/>
              <w:rPr>
                <w:rFonts w:hint="eastAsia" w:ascii="仿宋_GB2312" w:hAnsi="仿宋_GB2312" w:eastAsia="仿宋_GB2312" w:cs="仿宋_GB2312"/>
                <w:snapToGrid w:val="0"/>
                <w:color w:val="000000"/>
                <w:sz w:val="18"/>
                <w:szCs w:val="18"/>
                <w:highlight w:val="none"/>
                <w:lang w:val="en-US" w:eastAsia="zh-CN" w:bidi="ar-SA"/>
              </w:rPr>
            </w:pPr>
            <w:r>
              <w:rPr>
                <w:rFonts w:hint="eastAsia" w:ascii="仿宋_GB2312" w:hAnsi="仿宋_GB2312" w:eastAsia="仿宋_GB2312" w:cs="仿宋_GB2312"/>
                <w:sz w:val="18"/>
                <w:szCs w:val="18"/>
                <w:highlight w:val="none"/>
                <w:lang w:eastAsia="zh-CN"/>
              </w:rPr>
              <w:t>性</w:t>
            </w:r>
          </w:p>
        </w:tc>
        <w:tc>
          <w:tcPr>
            <w:tcW w:w="231" w:type="pct"/>
            <w:shd w:val="clear" w:color="auto" w:fill="auto"/>
            <w:vAlign w:val="center"/>
          </w:tcPr>
          <w:p w14:paraId="22C3A644">
            <w:pPr>
              <w:pStyle w:val="11"/>
              <w:jc w:val="center"/>
              <w:rPr>
                <w:rFonts w:hint="eastAsia" w:ascii="仿宋_GB2312" w:hAnsi="仿宋_GB2312" w:eastAsia="仿宋_GB2312" w:cs="仿宋_GB2312"/>
                <w:snapToGrid w:val="0"/>
                <w:color w:val="000000"/>
                <w:sz w:val="18"/>
                <w:szCs w:val="18"/>
                <w:highlight w:val="none"/>
                <w:lang w:val="en-US" w:eastAsia="en-US" w:bidi="ar-SA"/>
              </w:rPr>
            </w:pPr>
            <w:r>
              <w:rPr>
                <w:rFonts w:hint="eastAsia" w:ascii="仿宋_GB2312" w:hAnsi="仿宋_GB2312" w:eastAsia="仿宋_GB2312" w:cs="仿宋_GB2312"/>
                <w:sz w:val="18"/>
                <w:szCs w:val="18"/>
                <w:highlight w:val="none"/>
              </w:rPr>
              <w:t>健全</w:t>
            </w:r>
          </w:p>
        </w:tc>
        <w:tc>
          <w:tcPr>
            <w:tcW w:w="151" w:type="pct"/>
            <w:shd w:val="clear" w:color="auto" w:fill="auto"/>
            <w:vAlign w:val="center"/>
          </w:tcPr>
          <w:p w14:paraId="6C456A50">
            <w:pPr>
              <w:pStyle w:val="11"/>
              <w:jc w:val="center"/>
              <w:rPr>
                <w:rFonts w:hint="eastAsia" w:ascii="仿宋_GB2312" w:hAnsi="仿宋_GB2312" w:eastAsia="仿宋_GB2312" w:cs="仿宋_GB2312"/>
                <w:snapToGrid w:val="0"/>
                <w:color w:val="000000"/>
                <w:sz w:val="18"/>
                <w:szCs w:val="18"/>
                <w:highlight w:val="none"/>
                <w:lang w:val="en-US" w:eastAsia="en-US" w:bidi="ar-SA"/>
              </w:rPr>
            </w:pPr>
            <w:r>
              <w:rPr>
                <w:rFonts w:hint="eastAsia" w:ascii="仿宋_GB2312" w:hAnsi="仿宋_GB2312" w:eastAsia="仿宋_GB2312" w:cs="仿宋_GB2312"/>
                <w:sz w:val="18"/>
                <w:szCs w:val="18"/>
                <w:highlight w:val="none"/>
              </w:rPr>
              <w:t>1</w:t>
            </w:r>
          </w:p>
        </w:tc>
        <w:tc>
          <w:tcPr>
            <w:tcW w:w="698" w:type="pct"/>
            <w:shd w:val="clear" w:color="auto" w:fill="auto"/>
            <w:vAlign w:val="center"/>
          </w:tcPr>
          <w:p w14:paraId="20C0D3C3">
            <w:pPr>
              <w:pStyle w:val="11"/>
              <w:rPr>
                <w:rFonts w:hint="eastAsia" w:ascii="仿宋_GB2312" w:hAnsi="仿宋_GB2312" w:eastAsia="仿宋_GB2312" w:cs="仿宋_GB2312"/>
                <w:snapToGrid w:val="0"/>
                <w:color w:val="000000"/>
                <w:sz w:val="18"/>
                <w:szCs w:val="18"/>
                <w:highlight w:val="none"/>
                <w:lang w:val="en-US" w:eastAsia="zh-CN" w:bidi="ar-SA"/>
              </w:rPr>
            </w:pPr>
            <w:r>
              <w:rPr>
                <w:rFonts w:hint="eastAsia" w:ascii="仿宋_GB2312" w:hAnsi="仿宋_GB2312" w:eastAsia="仿宋_GB2312" w:cs="仿宋_GB2312"/>
                <w:sz w:val="18"/>
                <w:szCs w:val="18"/>
                <w:highlight w:val="none"/>
                <w:lang w:eastAsia="zh-CN"/>
              </w:rPr>
              <w:t>部门人员管理制度是否健全，用以反映和考核部门人员管理制度对部门正常运行、履职的保障情况。</w:t>
            </w:r>
          </w:p>
        </w:tc>
        <w:tc>
          <w:tcPr>
            <w:tcW w:w="1608" w:type="pct"/>
            <w:shd w:val="clear" w:color="auto" w:fill="auto"/>
            <w:vAlign w:val="center"/>
          </w:tcPr>
          <w:p w14:paraId="4CD2259C">
            <w:pPr>
              <w:pStyle w:val="11"/>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评价要点：</w:t>
            </w:r>
          </w:p>
          <w:p w14:paraId="1E8F9192">
            <w:pPr>
              <w:pStyle w:val="11"/>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1.有明确的组织架构和职责分工；</w:t>
            </w:r>
          </w:p>
          <w:p w14:paraId="405626BF">
            <w:pPr>
              <w:pStyle w:val="11"/>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2.人员配备是否充足，是否能够保障单位履职需要；</w:t>
            </w:r>
          </w:p>
          <w:p w14:paraId="0DBEE189">
            <w:pPr>
              <w:pStyle w:val="11"/>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3.是否存在以政府购买服务变相用工情况。</w:t>
            </w:r>
          </w:p>
          <w:p w14:paraId="5D4168A1">
            <w:pPr>
              <w:pStyle w:val="11"/>
              <w:rPr>
                <w:rFonts w:hint="eastAsia" w:ascii="仿宋_GB2312" w:hAnsi="仿宋_GB2312" w:eastAsia="仿宋_GB2312" w:cs="仿宋_GB2312"/>
                <w:snapToGrid w:val="0"/>
                <w:color w:val="000000"/>
                <w:sz w:val="18"/>
                <w:szCs w:val="18"/>
                <w:highlight w:val="none"/>
                <w:lang w:val="en-US" w:eastAsia="zh-CN" w:bidi="ar-SA"/>
              </w:rPr>
            </w:pPr>
            <w:r>
              <w:rPr>
                <w:rFonts w:hint="eastAsia" w:ascii="仿宋_GB2312" w:hAnsi="仿宋_GB2312" w:eastAsia="仿宋_GB2312" w:cs="仿宋_GB2312"/>
                <w:sz w:val="18"/>
                <w:szCs w:val="18"/>
                <w:highlight w:val="none"/>
                <w:lang w:eastAsia="zh-CN"/>
              </w:rPr>
              <w:t>评分规则：以上评价要点各占1/3分值，每个要点执行情况分为达成、部分达成、未达成三档，分别按分值的100%-80%(含)、80%-60%(含)、60%-0%合理确定分值。</w:t>
            </w:r>
          </w:p>
        </w:tc>
        <w:tc>
          <w:tcPr>
            <w:tcW w:w="1240" w:type="pct"/>
            <w:shd w:val="clear" w:color="auto" w:fill="auto"/>
            <w:vAlign w:val="center"/>
          </w:tcPr>
          <w:p w14:paraId="6450265D">
            <w:pPr>
              <w:pStyle w:val="11"/>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1.有明确的组织架构和职责分工，达成</w:t>
            </w:r>
          </w:p>
          <w:p w14:paraId="32AB84B5">
            <w:pPr>
              <w:pStyle w:val="11"/>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2.人员退休</w:t>
            </w:r>
            <w:r>
              <w:rPr>
                <w:rFonts w:hint="eastAsia" w:ascii="仿宋_GB2312" w:hAnsi="仿宋_GB2312" w:eastAsia="仿宋_GB2312" w:cs="仿宋_GB2312"/>
                <w:sz w:val="18"/>
                <w:szCs w:val="18"/>
                <w:highlight w:val="none"/>
                <w:lang w:val="en-US" w:eastAsia="zh-CN"/>
              </w:rPr>
              <w:t>3人，</w:t>
            </w:r>
            <w:r>
              <w:rPr>
                <w:rFonts w:hint="eastAsia" w:ascii="仿宋_GB2312" w:hAnsi="仿宋_GB2312" w:eastAsia="仿宋_GB2312" w:cs="仿宋_GB2312"/>
                <w:sz w:val="18"/>
                <w:szCs w:val="18"/>
                <w:highlight w:val="none"/>
                <w:lang w:eastAsia="zh-CN"/>
              </w:rPr>
              <w:t>基本能够保障单位履职需要，达成；</w:t>
            </w:r>
          </w:p>
          <w:p w14:paraId="24DB03FF">
            <w:pPr>
              <w:pStyle w:val="11"/>
              <w:rPr>
                <w:rFonts w:hint="eastAsia" w:ascii="仿宋_GB2312" w:hAnsi="仿宋_GB2312" w:eastAsia="仿宋_GB2312" w:cs="仿宋_GB2312"/>
                <w:snapToGrid w:val="0"/>
                <w:color w:val="000000"/>
                <w:sz w:val="18"/>
                <w:szCs w:val="18"/>
                <w:highlight w:val="none"/>
                <w:lang w:val="en-US" w:eastAsia="zh-CN" w:bidi="ar-SA"/>
              </w:rPr>
            </w:pPr>
            <w:r>
              <w:rPr>
                <w:rFonts w:hint="eastAsia" w:ascii="仿宋_GB2312" w:hAnsi="仿宋_GB2312" w:eastAsia="仿宋_GB2312" w:cs="仿宋_GB2312"/>
                <w:sz w:val="18"/>
                <w:szCs w:val="18"/>
                <w:highlight w:val="none"/>
                <w:lang w:eastAsia="zh-CN"/>
              </w:rPr>
              <w:t>3.不存在以政府购买服务变相用工情况，达成。</w:t>
            </w:r>
          </w:p>
        </w:tc>
        <w:tc>
          <w:tcPr>
            <w:tcW w:w="233" w:type="pct"/>
            <w:shd w:val="clear" w:color="auto" w:fill="auto"/>
            <w:vAlign w:val="center"/>
          </w:tcPr>
          <w:p w14:paraId="52062155">
            <w:pPr>
              <w:pStyle w:val="11"/>
              <w:jc w:val="center"/>
              <w:rPr>
                <w:rFonts w:hint="eastAsia" w:ascii="仿宋_GB2312" w:hAnsi="仿宋_GB2312" w:eastAsia="仿宋_GB2312" w:cs="仿宋_GB2312"/>
                <w:snapToGrid w:val="0"/>
                <w:color w:val="000000"/>
                <w:sz w:val="18"/>
                <w:szCs w:val="18"/>
                <w:highlight w:val="none"/>
                <w:lang w:val="en-US" w:eastAsia="en-US" w:bidi="ar-SA"/>
              </w:rPr>
            </w:pPr>
            <w:r>
              <w:rPr>
                <w:rFonts w:hint="eastAsia" w:ascii="仿宋_GB2312" w:hAnsi="仿宋_GB2312" w:eastAsia="仿宋_GB2312" w:cs="仿宋_GB2312"/>
                <w:sz w:val="18"/>
                <w:szCs w:val="18"/>
                <w:highlight w:val="none"/>
              </w:rPr>
              <w:t>1</w:t>
            </w:r>
          </w:p>
        </w:tc>
      </w:tr>
      <w:tr w14:paraId="53AEEB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14" w:hRule="atLeast"/>
          <w:jc w:val="center"/>
        </w:trPr>
        <w:tc>
          <w:tcPr>
            <w:tcW w:w="254" w:type="pct"/>
            <w:vMerge w:val="continue"/>
            <w:vAlign w:val="center"/>
          </w:tcPr>
          <w:p w14:paraId="346D51F5">
            <w:pPr>
              <w:pStyle w:val="11"/>
              <w:jc w:val="center"/>
              <w:rPr>
                <w:rFonts w:hint="eastAsia" w:ascii="仿宋_GB2312" w:hAnsi="仿宋_GB2312" w:eastAsia="仿宋_GB2312" w:cs="仿宋_GB2312"/>
                <w:sz w:val="18"/>
                <w:szCs w:val="18"/>
                <w:highlight w:val="none"/>
              </w:rPr>
            </w:pPr>
          </w:p>
        </w:tc>
        <w:tc>
          <w:tcPr>
            <w:tcW w:w="297" w:type="pct"/>
            <w:vMerge w:val="continue"/>
            <w:tcBorders>
              <w:left w:val="single" w:color="auto" w:sz="4" w:space="0"/>
              <w:right w:val="single" w:color="auto" w:sz="4" w:space="0"/>
            </w:tcBorders>
            <w:vAlign w:val="center"/>
          </w:tcPr>
          <w:p w14:paraId="020AF288">
            <w:pPr>
              <w:pStyle w:val="11"/>
              <w:jc w:val="center"/>
              <w:rPr>
                <w:rFonts w:hint="eastAsia" w:ascii="仿宋_GB2312" w:hAnsi="仿宋_GB2312" w:eastAsia="仿宋_GB2312" w:cs="仿宋_GB2312"/>
                <w:sz w:val="18"/>
                <w:szCs w:val="18"/>
                <w:highlight w:val="none"/>
              </w:rPr>
            </w:pPr>
          </w:p>
        </w:tc>
        <w:tc>
          <w:tcPr>
            <w:tcW w:w="284" w:type="pct"/>
            <w:tcBorders>
              <w:left w:val="single" w:color="auto" w:sz="4" w:space="0"/>
            </w:tcBorders>
            <w:shd w:val="clear" w:color="auto" w:fill="auto"/>
            <w:vAlign w:val="center"/>
          </w:tcPr>
          <w:p w14:paraId="033A83F9">
            <w:pPr>
              <w:pStyle w:val="11"/>
              <w:jc w:val="center"/>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B52</w:t>
            </w:r>
          </w:p>
          <w:p w14:paraId="4FDBA976">
            <w:pPr>
              <w:pStyle w:val="11"/>
              <w:jc w:val="center"/>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人员管理</w:t>
            </w:r>
          </w:p>
          <w:p w14:paraId="41A6FB0B">
            <w:pPr>
              <w:pStyle w:val="11"/>
              <w:jc w:val="center"/>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制度执行</w:t>
            </w:r>
          </w:p>
          <w:p w14:paraId="47C3B88E">
            <w:pPr>
              <w:pStyle w:val="11"/>
              <w:jc w:val="center"/>
              <w:rPr>
                <w:rFonts w:hint="eastAsia" w:ascii="仿宋_GB2312" w:hAnsi="仿宋_GB2312" w:eastAsia="仿宋_GB2312" w:cs="仿宋_GB2312"/>
                <w:snapToGrid w:val="0"/>
                <w:color w:val="000000"/>
                <w:sz w:val="18"/>
                <w:szCs w:val="18"/>
                <w:highlight w:val="none"/>
                <w:lang w:val="en-US" w:eastAsia="zh-CN" w:bidi="ar-SA"/>
              </w:rPr>
            </w:pPr>
            <w:r>
              <w:rPr>
                <w:rFonts w:hint="eastAsia" w:ascii="仿宋_GB2312" w:hAnsi="仿宋_GB2312" w:eastAsia="仿宋_GB2312" w:cs="仿宋_GB2312"/>
                <w:sz w:val="18"/>
                <w:szCs w:val="18"/>
                <w:highlight w:val="none"/>
                <w:lang w:eastAsia="zh-CN"/>
              </w:rPr>
              <w:t>有效性</w:t>
            </w:r>
          </w:p>
        </w:tc>
        <w:tc>
          <w:tcPr>
            <w:tcW w:w="231" w:type="pct"/>
            <w:shd w:val="clear" w:color="auto" w:fill="auto"/>
            <w:vAlign w:val="center"/>
          </w:tcPr>
          <w:p w14:paraId="423B0C93">
            <w:pPr>
              <w:pStyle w:val="11"/>
              <w:jc w:val="center"/>
              <w:rPr>
                <w:rFonts w:hint="eastAsia" w:ascii="仿宋_GB2312" w:hAnsi="仿宋_GB2312" w:eastAsia="仿宋_GB2312" w:cs="仿宋_GB2312"/>
                <w:snapToGrid w:val="0"/>
                <w:color w:val="000000"/>
                <w:sz w:val="18"/>
                <w:szCs w:val="18"/>
                <w:highlight w:val="none"/>
                <w:lang w:val="en-US" w:eastAsia="en-US" w:bidi="ar-SA"/>
              </w:rPr>
            </w:pPr>
            <w:r>
              <w:rPr>
                <w:rFonts w:hint="eastAsia" w:ascii="仿宋_GB2312" w:hAnsi="仿宋_GB2312" w:eastAsia="仿宋_GB2312" w:cs="仿宋_GB2312"/>
                <w:sz w:val="18"/>
                <w:szCs w:val="18"/>
                <w:highlight w:val="none"/>
              </w:rPr>
              <w:t>有效</w:t>
            </w:r>
          </w:p>
        </w:tc>
        <w:tc>
          <w:tcPr>
            <w:tcW w:w="151" w:type="pct"/>
            <w:shd w:val="clear" w:color="auto" w:fill="auto"/>
            <w:vAlign w:val="center"/>
          </w:tcPr>
          <w:p w14:paraId="6FA10516">
            <w:pPr>
              <w:pStyle w:val="11"/>
              <w:jc w:val="center"/>
              <w:rPr>
                <w:rFonts w:hint="eastAsia" w:ascii="仿宋_GB2312" w:hAnsi="仿宋_GB2312" w:eastAsia="仿宋_GB2312" w:cs="仿宋_GB2312"/>
                <w:snapToGrid w:val="0"/>
                <w:color w:val="000000"/>
                <w:sz w:val="18"/>
                <w:szCs w:val="18"/>
                <w:highlight w:val="none"/>
                <w:lang w:val="en-US" w:eastAsia="en-US" w:bidi="ar-SA"/>
              </w:rPr>
            </w:pPr>
            <w:r>
              <w:rPr>
                <w:rFonts w:hint="eastAsia" w:ascii="仿宋_GB2312" w:hAnsi="仿宋_GB2312" w:eastAsia="仿宋_GB2312" w:cs="仿宋_GB2312"/>
                <w:sz w:val="18"/>
                <w:szCs w:val="18"/>
                <w:highlight w:val="none"/>
              </w:rPr>
              <w:t>1</w:t>
            </w:r>
          </w:p>
        </w:tc>
        <w:tc>
          <w:tcPr>
            <w:tcW w:w="698" w:type="pct"/>
            <w:shd w:val="clear" w:color="auto" w:fill="auto"/>
            <w:vAlign w:val="center"/>
          </w:tcPr>
          <w:p w14:paraId="6C6A513D">
            <w:pPr>
              <w:pStyle w:val="11"/>
              <w:rPr>
                <w:rFonts w:hint="eastAsia" w:ascii="仿宋_GB2312" w:hAnsi="仿宋_GB2312" w:eastAsia="仿宋_GB2312" w:cs="仿宋_GB2312"/>
                <w:snapToGrid w:val="0"/>
                <w:color w:val="000000"/>
                <w:sz w:val="18"/>
                <w:szCs w:val="18"/>
                <w:highlight w:val="none"/>
                <w:lang w:val="en-US" w:eastAsia="zh-CN" w:bidi="ar-SA"/>
              </w:rPr>
            </w:pPr>
            <w:r>
              <w:rPr>
                <w:rFonts w:hint="eastAsia" w:ascii="仿宋_GB2312" w:hAnsi="仿宋_GB2312" w:eastAsia="仿宋_GB2312" w:cs="仿宋_GB2312"/>
                <w:sz w:val="18"/>
                <w:szCs w:val="18"/>
                <w:highlight w:val="none"/>
                <w:lang w:eastAsia="zh-CN"/>
              </w:rPr>
              <w:t>部门人员管理是否符合相关管理规定，用以反映和考核人力资源管理制度执行的有效性情况。</w:t>
            </w:r>
          </w:p>
        </w:tc>
        <w:tc>
          <w:tcPr>
            <w:tcW w:w="1608" w:type="pct"/>
            <w:shd w:val="clear" w:color="auto" w:fill="auto"/>
            <w:vAlign w:val="center"/>
          </w:tcPr>
          <w:p w14:paraId="1C233FA2">
            <w:pPr>
              <w:pStyle w:val="11"/>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评价要点：</w:t>
            </w:r>
          </w:p>
          <w:p w14:paraId="44144B7F">
            <w:pPr>
              <w:pStyle w:val="11"/>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1.年终组织个人、处室考核，实施程序规范、资料完整；</w:t>
            </w:r>
          </w:p>
          <w:p w14:paraId="11CBEF5A">
            <w:pPr>
              <w:pStyle w:val="11"/>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2.考核结果切实运用。</w:t>
            </w:r>
          </w:p>
          <w:p w14:paraId="1C099BA7">
            <w:pPr>
              <w:pStyle w:val="11"/>
              <w:rPr>
                <w:rFonts w:hint="eastAsia" w:ascii="仿宋_GB2312" w:hAnsi="仿宋_GB2312" w:eastAsia="仿宋_GB2312" w:cs="仿宋_GB2312"/>
                <w:snapToGrid w:val="0"/>
                <w:color w:val="000000"/>
                <w:sz w:val="18"/>
                <w:szCs w:val="18"/>
                <w:highlight w:val="none"/>
                <w:lang w:val="en-US" w:eastAsia="zh-CN" w:bidi="ar-SA"/>
              </w:rPr>
            </w:pPr>
            <w:r>
              <w:rPr>
                <w:rFonts w:hint="eastAsia" w:ascii="仿宋_GB2312" w:hAnsi="仿宋_GB2312" w:eastAsia="仿宋_GB2312" w:cs="仿宋_GB2312"/>
                <w:sz w:val="18"/>
                <w:szCs w:val="18"/>
                <w:highlight w:val="none"/>
                <w:lang w:eastAsia="zh-CN"/>
              </w:rPr>
              <w:t>评分规则：以上评价要点各占1/2分值，每个要点执行情况分为达成、部分达成、未达成三档，分别按分值的100%-80%(含)、80%-60%(含)、60%-0%合理确定分值。</w:t>
            </w:r>
          </w:p>
        </w:tc>
        <w:tc>
          <w:tcPr>
            <w:tcW w:w="1240" w:type="pct"/>
            <w:shd w:val="clear" w:color="auto" w:fill="auto"/>
            <w:vAlign w:val="center"/>
          </w:tcPr>
          <w:p w14:paraId="1C27F2D3">
            <w:pPr>
              <w:pStyle w:val="11"/>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1.年终组织个人、处室考核，实施程序规范、资料完整，达成；</w:t>
            </w:r>
          </w:p>
          <w:p w14:paraId="7FB17C3F">
            <w:pPr>
              <w:pStyle w:val="11"/>
              <w:rPr>
                <w:rFonts w:hint="eastAsia" w:ascii="仿宋_GB2312" w:hAnsi="仿宋_GB2312" w:eastAsia="仿宋_GB2312" w:cs="仿宋_GB2312"/>
                <w:snapToGrid w:val="0"/>
                <w:color w:val="000000"/>
                <w:sz w:val="18"/>
                <w:szCs w:val="18"/>
                <w:highlight w:val="none"/>
                <w:lang w:val="en-US" w:eastAsia="zh-CN" w:bidi="ar-SA"/>
              </w:rPr>
            </w:pPr>
            <w:r>
              <w:rPr>
                <w:rFonts w:hint="eastAsia" w:ascii="仿宋_GB2312" w:hAnsi="仿宋_GB2312" w:eastAsia="仿宋_GB2312" w:cs="仿宋_GB2312"/>
                <w:sz w:val="18"/>
                <w:szCs w:val="18"/>
                <w:highlight w:val="none"/>
                <w:lang w:eastAsia="zh-CN"/>
              </w:rPr>
              <w:t>2.考核结果切实运用，达成。</w:t>
            </w:r>
          </w:p>
        </w:tc>
        <w:tc>
          <w:tcPr>
            <w:tcW w:w="233" w:type="pct"/>
            <w:shd w:val="clear" w:color="auto" w:fill="auto"/>
            <w:vAlign w:val="center"/>
          </w:tcPr>
          <w:p w14:paraId="7ABAAA21">
            <w:pPr>
              <w:pStyle w:val="11"/>
              <w:jc w:val="center"/>
              <w:rPr>
                <w:rFonts w:hint="eastAsia" w:ascii="仿宋_GB2312" w:hAnsi="仿宋_GB2312" w:eastAsia="仿宋_GB2312" w:cs="仿宋_GB2312"/>
                <w:snapToGrid w:val="0"/>
                <w:color w:val="000000"/>
                <w:sz w:val="18"/>
                <w:szCs w:val="18"/>
                <w:highlight w:val="none"/>
                <w:lang w:val="en-US" w:eastAsia="en-US" w:bidi="ar-SA"/>
              </w:rPr>
            </w:pPr>
            <w:r>
              <w:rPr>
                <w:rFonts w:hint="eastAsia" w:ascii="仿宋_GB2312" w:hAnsi="仿宋_GB2312" w:eastAsia="仿宋_GB2312" w:cs="仿宋_GB2312"/>
                <w:sz w:val="18"/>
                <w:szCs w:val="18"/>
                <w:highlight w:val="none"/>
              </w:rPr>
              <w:t>1</w:t>
            </w:r>
          </w:p>
        </w:tc>
      </w:tr>
      <w:tr w14:paraId="5EB043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9" w:hRule="atLeast"/>
          <w:jc w:val="center"/>
        </w:trPr>
        <w:tc>
          <w:tcPr>
            <w:tcW w:w="254" w:type="pct"/>
            <w:vMerge w:val="continue"/>
            <w:vAlign w:val="center"/>
          </w:tcPr>
          <w:p w14:paraId="0C161BB6">
            <w:pPr>
              <w:pStyle w:val="11"/>
              <w:jc w:val="center"/>
              <w:rPr>
                <w:rFonts w:hint="eastAsia" w:ascii="仿宋_GB2312" w:hAnsi="仿宋_GB2312" w:eastAsia="仿宋_GB2312" w:cs="仿宋_GB2312"/>
                <w:sz w:val="18"/>
                <w:szCs w:val="18"/>
                <w:highlight w:val="none"/>
              </w:rPr>
            </w:pPr>
          </w:p>
        </w:tc>
        <w:tc>
          <w:tcPr>
            <w:tcW w:w="297" w:type="pct"/>
            <w:vMerge w:val="continue"/>
            <w:tcBorders>
              <w:left w:val="single" w:color="auto" w:sz="4" w:space="0"/>
              <w:bottom w:val="single" w:color="auto" w:sz="4" w:space="0"/>
              <w:right w:val="single" w:color="auto" w:sz="4" w:space="0"/>
            </w:tcBorders>
            <w:vAlign w:val="center"/>
          </w:tcPr>
          <w:p w14:paraId="7BCBAF36">
            <w:pPr>
              <w:pStyle w:val="11"/>
              <w:jc w:val="center"/>
              <w:rPr>
                <w:rFonts w:hint="eastAsia" w:ascii="仿宋_GB2312" w:hAnsi="仿宋_GB2312" w:eastAsia="仿宋_GB2312" w:cs="仿宋_GB2312"/>
                <w:sz w:val="18"/>
                <w:szCs w:val="18"/>
                <w:highlight w:val="none"/>
              </w:rPr>
            </w:pPr>
          </w:p>
        </w:tc>
        <w:tc>
          <w:tcPr>
            <w:tcW w:w="284" w:type="pct"/>
            <w:tcBorders>
              <w:left w:val="single" w:color="auto" w:sz="4" w:space="0"/>
            </w:tcBorders>
            <w:shd w:val="clear" w:color="auto" w:fill="auto"/>
            <w:vAlign w:val="center"/>
          </w:tcPr>
          <w:p w14:paraId="056F0E16">
            <w:pPr>
              <w:pStyle w:val="11"/>
              <w:jc w:val="center"/>
              <w:rPr>
                <w:rFonts w:hint="eastAsia" w:ascii="仿宋_GB2312" w:hAnsi="仿宋_GB2312" w:eastAsia="仿宋_GB2312" w:cs="仿宋_GB2312"/>
                <w:sz w:val="18"/>
                <w:szCs w:val="18"/>
                <w:highlight w:val="none"/>
              </w:rPr>
            </w:pPr>
          </w:p>
          <w:p w14:paraId="39A95D33">
            <w:pPr>
              <w:pStyle w:val="11"/>
              <w:jc w:val="center"/>
              <w:rPr>
                <w:rFonts w:hint="eastAsia" w:ascii="仿宋_GB2312" w:hAnsi="仿宋_GB2312" w:eastAsia="仿宋_GB2312" w:cs="仿宋_GB2312"/>
                <w:sz w:val="18"/>
                <w:szCs w:val="18"/>
                <w:highlight w:val="none"/>
              </w:rPr>
            </w:pPr>
            <w:r>
              <w:rPr>
                <w:rFonts w:hint="eastAsia" w:ascii="仿宋_GB2312" w:hAnsi="仿宋_GB2312" w:eastAsia="仿宋_GB2312" w:cs="仿宋_GB2312"/>
                <w:sz w:val="18"/>
                <w:szCs w:val="18"/>
                <w:highlight w:val="none"/>
              </w:rPr>
              <w:t>B53</w:t>
            </w:r>
          </w:p>
          <w:p w14:paraId="5BE131D8">
            <w:pPr>
              <w:pStyle w:val="11"/>
              <w:jc w:val="center"/>
              <w:rPr>
                <w:rFonts w:hint="eastAsia" w:ascii="仿宋_GB2312" w:hAnsi="仿宋_GB2312" w:eastAsia="仿宋_GB2312" w:cs="仿宋_GB2312"/>
                <w:sz w:val="18"/>
                <w:szCs w:val="18"/>
                <w:highlight w:val="none"/>
              </w:rPr>
            </w:pPr>
            <w:r>
              <w:rPr>
                <w:rFonts w:hint="eastAsia" w:ascii="仿宋_GB2312" w:hAnsi="仿宋_GB2312" w:eastAsia="仿宋_GB2312" w:cs="仿宋_GB2312"/>
                <w:sz w:val="18"/>
                <w:szCs w:val="18"/>
                <w:highlight w:val="none"/>
              </w:rPr>
              <w:t>在职人员</w:t>
            </w:r>
          </w:p>
          <w:p w14:paraId="353B760C">
            <w:pPr>
              <w:pStyle w:val="11"/>
              <w:jc w:val="center"/>
              <w:rPr>
                <w:rFonts w:hint="eastAsia" w:ascii="仿宋_GB2312" w:hAnsi="仿宋_GB2312" w:eastAsia="仿宋_GB2312" w:cs="仿宋_GB2312"/>
                <w:snapToGrid w:val="0"/>
                <w:color w:val="000000"/>
                <w:sz w:val="18"/>
                <w:szCs w:val="18"/>
                <w:highlight w:val="none"/>
                <w:lang w:val="en-US" w:eastAsia="en-US" w:bidi="ar-SA"/>
              </w:rPr>
            </w:pPr>
            <w:r>
              <w:rPr>
                <w:rFonts w:hint="eastAsia" w:ascii="仿宋_GB2312" w:hAnsi="仿宋_GB2312" w:eastAsia="仿宋_GB2312" w:cs="仿宋_GB2312"/>
                <w:sz w:val="18"/>
                <w:szCs w:val="18"/>
                <w:highlight w:val="none"/>
              </w:rPr>
              <w:t>控制率</w:t>
            </w:r>
          </w:p>
        </w:tc>
        <w:tc>
          <w:tcPr>
            <w:tcW w:w="231" w:type="pct"/>
            <w:shd w:val="clear" w:color="auto" w:fill="auto"/>
            <w:vAlign w:val="center"/>
          </w:tcPr>
          <w:p w14:paraId="0ACAF73F">
            <w:pPr>
              <w:pStyle w:val="11"/>
              <w:jc w:val="center"/>
              <w:rPr>
                <w:rFonts w:hint="eastAsia" w:ascii="仿宋_GB2312" w:hAnsi="仿宋_GB2312" w:eastAsia="仿宋_GB2312" w:cs="仿宋_GB2312"/>
                <w:snapToGrid w:val="0"/>
                <w:color w:val="000000"/>
                <w:sz w:val="18"/>
                <w:szCs w:val="18"/>
                <w:highlight w:val="none"/>
                <w:lang w:val="en-US" w:eastAsia="en-US" w:bidi="ar-SA"/>
              </w:rPr>
            </w:pPr>
            <w:r>
              <w:rPr>
                <w:rFonts w:hint="eastAsia" w:ascii="仿宋_GB2312" w:hAnsi="仿宋_GB2312" w:eastAsia="仿宋_GB2312" w:cs="仿宋_GB2312"/>
                <w:sz w:val="18"/>
                <w:szCs w:val="18"/>
                <w:highlight w:val="none"/>
              </w:rPr>
              <w:t>≤100%</w:t>
            </w:r>
          </w:p>
        </w:tc>
        <w:tc>
          <w:tcPr>
            <w:tcW w:w="151" w:type="pct"/>
            <w:shd w:val="clear" w:color="auto" w:fill="auto"/>
            <w:vAlign w:val="center"/>
          </w:tcPr>
          <w:p w14:paraId="3DBD9FB5">
            <w:pPr>
              <w:pStyle w:val="11"/>
              <w:jc w:val="center"/>
              <w:rPr>
                <w:rFonts w:hint="eastAsia" w:ascii="仿宋_GB2312" w:hAnsi="仿宋_GB2312" w:eastAsia="仿宋_GB2312" w:cs="仿宋_GB2312"/>
                <w:snapToGrid w:val="0"/>
                <w:color w:val="000000"/>
                <w:sz w:val="18"/>
                <w:szCs w:val="18"/>
                <w:highlight w:val="none"/>
                <w:lang w:val="en-US" w:eastAsia="en-US" w:bidi="ar-SA"/>
              </w:rPr>
            </w:pPr>
            <w:r>
              <w:rPr>
                <w:rFonts w:hint="eastAsia" w:ascii="仿宋_GB2312" w:hAnsi="仿宋_GB2312" w:eastAsia="仿宋_GB2312" w:cs="仿宋_GB2312"/>
                <w:sz w:val="18"/>
                <w:szCs w:val="18"/>
                <w:highlight w:val="none"/>
              </w:rPr>
              <w:t>1</w:t>
            </w:r>
          </w:p>
        </w:tc>
        <w:tc>
          <w:tcPr>
            <w:tcW w:w="698" w:type="pct"/>
            <w:shd w:val="clear" w:color="auto" w:fill="auto"/>
            <w:vAlign w:val="center"/>
          </w:tcPr>
          <w:p w14:paraId="1CF5B3E6">
            <w:pPr>
              <w:pStyle w:val="11"/>
              <w:rPr>
                <w:rFonts w:hint="eastAsia" w:ascii="仿宋_GB2312" w:hAnsi="仿宋_GB2312" w:eastAsia="仿宋_GB2312" w:cs="仿宋_GB2312"/>
                <w:snapToGrid w:val="0"/>
                <w:color w:val="000000"/>
                <w:sz w:val="18"/>
                <w:szCs w:val="18"/>
                <w:highlight w:val="none"/>
                <w:lang w:val="en-US" w:eastAsia="zh-CN" w:bidi="ar-SA"/>
              </w:rPr>
            </w:pPr>
            <w:r>
              <w:rPr>
                <w:rFonts w:hint="eastAsia" w:ascii="仿宋_GB2312" w:hAnsi="仿宋_GB2312" w:eastAsia="仿宋_GB2312" w:cs="仿宋_GB2312"/>
                <w:sz w:val="18"/>
                <w:szCs w:val="18"/>
                <w:highlight w:val="none"/>
                <w:lang w:eastAsia="zh-CN"/>
              </w:rPr>
              <w:t>部门本年度实际在职人员数与编制数的比率，用以反映和考核部门对人员成本的控制程度。</w:t>
            </w:r>
          </w:p>
        </w:tc>
        <w:tc>
          <w:tcPr>
            <w:tcW w:w="1608" w:type="pct"/>
            <w:shd w:val="clear" w:color="auto" w:fill="auto"/>
            <w:vAlign w:val="center"/>
          </w:tcPr>
          <w:p w14:paraId="03192122">
            <w:pPr>
              <w:pStyle w:val="11"/>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在职人员控制率=(在职人员数/编制数)×100%。</w:t>
            </w:r>
          </w:p>
          <w:p w14:paraId="51F30E84">
            <w:pPr>
              <w:pStyle w:val="11"/>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在职人员数：部门实际在职人数，以财政部确定的部门决算编制口径为准。</w:t>
            </w:r>
          </w:p>
          <w:p w14:paraId="600A61D1">
            <w:pPr>
              <w:pStyle w:val="11"/>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编制数：机构编制部门核定批复的部门的人员编制数。</w:t>
            </w:r>
          </w:p>
          <w:p w14:paraId="43E86189">
            <w:pPr>
              <w:pStyle w:val="11"/>
              <w:rPr>
                <w:rFonts w:hint="eastAsia" w:ascii="仿宋_GB2312" w:hAnsi="仿宋_GB2312" w:eastAsia="仿宋_GB2312" w:cs="仿宋_GB2312"/>
                <w:snapToGrid w:val="0"/>
                <w:color w:val="000000"/>
                <w:sz w:val="18"/>
                <w:szCs w:val="18"/>
                <w:highlight w:val="none"/>
                <w:lang w:val="en-US" w:eastAsia="zh-CN" w:bidi="ar-SA"/>
              </w:rPr>
            </w:pPr>
            <w:r>
              <w:rPr>
                <w:rFonts w:hint="eastAsia" w:ascii="仿宋_GB2312" w:hAnsi="仿宋_GB2312" w:eastAsia="仿宋_GB2312" w:cs="仿宋_GB2312"/>
                <w:sz w:val="18"/>
                <w:szCs w:val="18"/>
                <w:highlight w:val="none"/>
                <w:lang w:eastAsia="zh-CN"/>
              </w:rPr>
              <w:t>评分规则：1.比率≤100%,得满分；2.比率&gt;100%,每增加1%,扣5%的权重分，扣完为止。</w:t>
            </w:r>
          </w:p>
        </w:tc>
        <w:tc>
          <w:tcPr>
            <w:tcW w:w="1240" w:type="pct"/>
            <w:shd w:val="clear" w:color="auto" w:fill="auto"/>
            <w:vAlign w:val="center"/>
          </w:tcPr>
          <w:p w14:paraId="499570B9">
            <w:pPr>
              <w:pStyle w:val="11"/>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在职人员控制率=(在职人员数</w:t>
            </w:r>
            <w:r>
              <w:rPr>
                <w:rFonts w:hint="eastAsia" w:ascii="仿宋_GB2312" w:hAnsi="仿宋_GB2312" w:eastAsia="仿宋_GB2312" w:cs="仿宋_GB2312"/>
                <w:sz w:val="18"/>
                <w:szCs w:val="18"/>
                <w:highlight w:val="none"/>
                <w:lang w:val="en-US" w:eastAsia="zh-CN"/>
              </w:rPr>
              <w:t>29</w:t>
            </w:r>
            <w:r>
              <w:rPr>
                <w:rFonts w:hint="eastAsia" w:ascii="仿宋_GB2312" w:hAnsi="仿宋_GB2312" w:eastAsia="仿宋_GB2312" w:cs="仿宋_GB2312"/>
                <w:sz w:val="18"/>
                <w:szCs w:val="18"/>
                <w:highlight w:val="none"/>
                <w:lang w:eastAsia="zh-CN"/>
              </w:rPr>
              <w:t>人/编制数29人)×100%=</w:t>
            </w:r>
            <w:r>
              <w:rPr>
                <w:rFonts w:hint="eastAsia" w:ascii="仿宋_GB2312" w:hAnsi="仿宋_GB2312" w:eastAsia="仿宋_GB2312" w:cs="仿宋_GB2312"/>
                <w:sz w:val="18"/>
                <w:szCs w:val="18"/>
                <w:highlight w:val="none"/>
                <w:lang w:val="en-US" w:eastAsia="zh-CN"/>
              </w:rPr>
              <w:t>100</w:t>
            </w:r>
            <w:r>
              <w:rPr>
                <w:rFonts w:hint="eastAsia" w:ascii="仿宋_GB2312" w:hAnsi="仿宋_GB2312" w:eastAsia="仿宋_GB2312" w:cs="仿宋_GB2312"/>
                <w:sz w:val="18"/>
                <w:szCs w:val="18"/>
                <w:highlight w:val="none"/>
                <w:lang w:eastAsia="zh-CN"/>
              </w:rPr>
              <w:t>%。</w:t>
            </w:r>
          </w:p>
          <w:p w14:paraId="20DF9F3C">
            <w:pPr>
              <w:pStyle w:val="11"/>
              <w:rPr>
                <w:rFonts w:hint="eastAsia" w:ascii="仿宋_GB2312" w:hAnsi="仿宋_GB2312" w:eastAsia="仿宋_GB2312" w:cs="仿宋_GB2312"/>
                <w:snapToGrid w:val="0"/>
                <w:color w:val="000000"/>
                <w:sz w:val="18"/>
                <w:szCs w:val="18"/>
                <w:highlight w:val="none"/>
                <w:lang w:val="en-US" w:eastAsia="zh-CN" w:bidi="ar-SA"/>
              </w:rPr>
            </w:pPr>
          </w:p>
        </w:tc>
        <w:tc>
          <w:tcPr>
            <w:tcW w:w="233" w:type="pct"/>
            <w:shd w:val="clear" w:color="auto" w:fill="auto"/>
            <w:vAlign w:val="center"/>
          </w:tcPr>
          <w:p w14:paraId="470A77C3">
            <w:pPr>
              <w:pStyle w:val="11"/>
              <w:jc w:val="center"/>
              <w:rPr>
                <w:rFonts w:hint="eastAsia" w:ascii="仿宋_GB2312" w:hAnsi="仿宋_GB2312" w:eastAsia="仿宋_GB2312" w:cs="仿宋_GB2312"/>
                <w:snapToGrid w:val="0"/>
                <w:color w:val="000000"/>
                <w:sz w:val="18"/>
                <w:szCs w:val="18"/>
                <w:highlight w:val="none"/>
                <w:lang w:val="en-US" w:eastAsia="en-US" w:bidi="ar-SA"/>
              </w:rPr>
            </w:pPr>
            <w:r>
              <w:rPr>
                <w:rFonts w:hint="eastAsia" w:ascii="仿宋_GB2312" w:hAnsi="仿宋_GB2312" w:eastAsia="仿宋_GB2312" w:cs="仿宋_GB2312"/>
                <w:sz w:val="18"/>
                <w:szCs w:val="18"/>
                <w:highlight w:val="none"/>
              </w:rPr>
              <w:t>1</w:t>
            </w:r>
          </w:p>
        </w:tc>
      </w:tr>
      <w:tr w14:paraId="43C878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4" w:hRule="atLeast"/>
          <w:jc w:val="center"/>
        </w:trPr>
        <w:tc>
          <w:tcPr>
            <w:tcW w:w="254" w:type="pct"/>
            <w:vMerge w:val="continue"/>
            <w:vAlign w:val="center"/>
          </w:tcPr>
          <w:p w14:paraId="18A7CC71">
            <w:pPr>
              <w:pStyle w:val="11"/>
              <w:jc w:val="center"/>
              <w:rPr>
                <w:rFonts w:hint="eastAsia" w:ascii="仿宋_GB2312" w:hAnsi="仿宋_GB2312" w:eastAsia="仿宋_GB2312" w:cs="仿宋_GB2312"/>
                <w:sz w:val="18"/>
                <w:szCs w:val="18"/>
                <w:highlight w:val="none"/>
              </w:rPr>
            </w:pPr>
          </w:p>
        </w:tc>
        <w:tc>
          <w:tcPr>
            <w:tcW w:w="297" w:type="pct"/>
            <w:vMerge w:val="restart"/>
            <w:tcBorders>
              <w:top w:val="single" w:color="auto" w:sz="4" w:space="0"/>
              <w:left w:val="single" w:color="auto" w:sz="4" w:space="0"/>
              <w:right w:val="single" w:color="auto" w:sz="4" w:space="0"/>
            </w:tcBorders>
            <w:vAlign w:val="center"/>
          </w:tcPr>
          <w:p w14:paraId="79663492">
            <w:pPr>
              <w:pStyle w:val="11"/>
              <w:jc w:val="center"/>
              <w:rPr>
                <w:rFonts w:hint="eastAsia" w:ascii="仿宋_GB2312" w:hAnsi="仿宋_GB2312" w:eastAsia="仿宋_GB2312" w:cs="仿宋_GB2312"/>
                <w:sz w:val="18"/>
                <w:szCs w:val="18"/>
                <w:highlight w:val="none"/>
              </w:rPr>
            </w:pPr>
            <w:r>
              <w:rPr>
                <w:rFonts w:hint="eastAsia" w:ascii="仿宋_GB2312" w:hAnsi="仿宋_GB2312" w:eastAsia="仿宋_GB2312" w:cs="仿宋_GB2312"/>
                <w:sz w:val="18"/>
                <w:szCs w:val="18"/>
                <w:highlight w:val="none"/>
              </w:rPr>
              <w:t>B6</w:t>
            </w:r>
          </w:p>
          <w:p w14:paraId="26F76235">
            <w:pPr>
              <w:pStyle w:val="11"/>
              <w:jc w:val="center"/>
              <w:rPr>
                <w:rFonts w:hint="eastAsia" w:ascii="仿宋_GB2312" w:hAnsi="仿宋_GB2312" w:eastAsia="仿宋_GB2312" w:cs="仿宋_GB2312"/>
                <w:sz w:val="18"/>
                <w:szCs w:val="18"/>
                <w:highlight w:val="none"/>
              </w:rPr>
            </w:pPr>
            <w:r>
              <w:rPr>
                <w:rFonts w:hint="eastAsia" w:ascii="仿宋_GB2312" w:hAnsi="仿宋_GB2312" w:eastAsia="仿宋_GB2312" w:cs="仿宋_GB2312"/>
                <w:sz w:val="18"/>
                <w:szCs w:val="18"/>
                <w:highlight w:val="none"/>
              </w:rPr>
              <w:t>机构建设</w:t>
            </w:r>
          </w:p>
          <w:p w14:paraId="49DD82DE">
            <w:pPr>
              <w:pStyle w:val="11"/>
              <w:jc w:val="center"/>
              <w:rPr>
                <w:rFonts w:hint="eastAsia" w:ascii="仿宋_GB2312" w:hAnsi="仿宋_GB2312" w:eastAsia="仿宋_GB2312" w:cs="仿宋_GB2312"/>
                <w:sz w:val="18"/>
                <w:szCs w:val="18"/>
                <w:highlight w:val="none"/>
              </w:rPr>
            </w:pPr>
            <w:r>
              <w:rPr>
                <w:rFonts w:hint="eastAsia" w:ascii="仿宋_GB2312" w:hAnsi="仿宋_GB2312" w:eastAsia="仿宋_GB2312" w:cs="仿宋_GB2312"/>
                <w:sz w:val="18"/>
                <w:szCs w:val="18"/>
                <w:highlight w:val="none"/>
              </w:rPr>
              <w:t>(3)</w:t>
            </w:r>
          </w:p>
        </w:tc>
        <w:tc>
          <w:tcPr>
            <w:tcW w:w="284" w:type="pct"/>
            <w:tcBorders>
              <w:left w:val="single" w:color="auto" w:sz="4" w:space="0"/>
            </w:tcBorders>
            <w:shd w:val="clear" w:color="auto" w:fill="auto"/>
            <w:vAlign w:val="center"/>
          </w:tcPr>
          <w:p w14:paraId="63388AED">
            <w:pPr>
              <w:pStyle w:val="11"/>
              <w:jc w:val="center"/>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B61</w:t>
            </w:r>
          </w:p>
          <w:p w14:paraId="2B77C185">
            <w:pPr>
              <w:pStyle w:val="11"/>
              <w:jc w:val="center"/>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组织建设</w:t>
            </w:r>
          </w:p>
          <w:p w14:paraId="6F1634E8">
            <w:pPr>
              <w:pStyle w:val="11"/>
              <w:jc w:val="center"/>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工作及时</w:t>
            </w:r>
          </w:p>
          <w:p w14:paraId="1F9942D3">
            <w:pPr>
              <w:pStyle w:val="11"/>
              <w:jc w:val="center"/>
              <w:rPr>
                <w:rFonts w:hint="eastAsia" w:ascii="仿宋_GB2312" w:hAnsi="仿宋_GB2312" w:eastAsia="仿宋_GB2312" w:cs="仿宋_GB2312"/>
                <w:snapToGrid w:val="0"/>
                <w:color w:val="000000"/>
                <w:sz w:val="18"/>
                <w:szCs w:val="18"/>
                <w:highlight w:val="none"/>
                <w:lang w:val="en-US" w:eastAsia="zh-CN" w:bidi="ar-SA"/>
              </w:rPr>
            </w:pPr>
            <w:r>
              <w:rPr>
                <w:rFonts w:hint="eastAsia" w:ascii="仿宋_GB2312" w:hAnsi="仿宋_GB2312" w:eastAsia="仿宋_GB2312" w:cs="仿宋_GB2312"/>
                <w:sz w:val="18"/>
                <w:szCs w:val="18"/>
                <w:highlight w:val="none"/>
                <w:lang w:eastAsia="zh-CN"/>
              </w:rPr>
              <w:t>完成率</w:t>
            </w:r>
          </w:p>
        </w:tc>
        <w:tc>
          <w:tcPr>
            <w:tcW w:w="231" w:type="pct"/>
            <w:shd w:val="clear" w:color="auto" w:fill="auto"/>
            <w:vAlign w:val="center"/>
          </w:tcPr>
          <w:p w14:paraId="3AAECC12">
            <w:pPr>
              <w:pStyle w:val="11"/>
              <w:jc w:val="center"/>
              <w:rPr>
                <w:rFonts w:hint="eastAsia" w:ascii="仿宋_GB2312" w:hAnsi="仿宋_GB2312" w:eastAsia="仿宋_GB2312" w:cs="仿宋_GB2312"/>
                <w:snapToGrid w:val="0"/>
                <w:color w:val="000000"/>
                <w:sz w:val="18"/>
                <w:szCs w:val="18"/>
                <w:highlight w:val="none"/>
                <w:lang w:val="en-US" w:eastAsia="en-US" w:bidi="ar-SA"/>
              </w:rPr>
            </w:pPr>
            <w:r>
              <w:rPr>
                <w:rFonts w:hint="eastAsia" w:ascii="仿宋_GB2312" w:hAnsi="仿宋_GB2312" w:eastAsia="仿宋_GB2312" w:cs="仿宋_GB2312"/>
                <w:sz w:val="18"/>
                <w:szCs w:val="18"/>
                <w:highlight w:val="none"/>
              </w:rPr>
              <w:t>100%</w:t>
            </w:r>
          </w:p>
        </w:tc>
        <w:tc>
          <w:tcPr>
            <w:tcW w:w="151" w:type="pct"/>
            <w:shd w:val="clear" w:color="auto" w:fill="auto"/>
            <w:vAlign w:val="center"/>
          </w:tcPr>
          <w:p w14:paraId="707DD599">
            <w:pPr>
              <w:pStyle w:val="11"/>
              <w:jc w:val="center"/>
              <w:rPr>
                <w:rFonts w:hint="eastAsia" w:ascii="仿宋_GB2312" w:hAnsi="仿宋_GB2312" w:eastAsia="仿宋_GB2312" w:cs="仿宋_GB2312"/>
                <w:snapToGrid w:val="0"/>
                <w:color w:val="000000"/>
                <w:sz w:val="18"/>
                <w:szCs w:val="18"/>
                <w:highlight w:val="none"/>
                <w:lang w:val="en-US" w:eastAsia="en-US" w:bidi="ar-SA"/>
              </w:rPr>
            </w:pPr>
            <w:r>
              <w:rPr>
                <w:rFonts w:hint="eastAsia" w:ascii="仿宋_GB2312" w:hAnsi="仿宋_GB2312" w:eastAsia="仿宋_GB2312" w:cs="仿宋_GB2312"/>
                <w:sz w:val="18"/>
                <w:szCs w:val="18"/>
                <w:highlight w:val="none"/>
              </w:rPr>
              <w:t>1</w:t>
            </w:r>
          </w:p>
        </w:tc>
        <w:tc>
          <w:tcPr>
            <w:tcW w:w="698" w:type="pct"/>
            <w:shd w:val="clear" w:color="auto" w:fill="auto"/>
            <w:vAlign w:val="center"/>
          </w:tcPr>
          <w:p w14:paraId="4EDD8B91">
            <w:pPr>
              <w:pStyle w:val="11"/>
              <w:rPr>
                <w:rFonts w:hint="eastAsia" w:ascii="仿宋_GB2312" w:hAnsi="仿宋_GB2312" w:eastAsia="仿宋_GB2312" w:cs="仿宋_GB2312"/>
                <w:snapToGrid w:val="0"/>
                <w:color w:val="000000"/>
                <w:sz w:val="18"/>
                <w:szCs w:val="18"/>
                <w:highlight w:val="none"/>
                <w:lang w:val="en-US" w:eastAsia="zh-CN" w:bidi="ar-SA"/>
              </w:rPr>
            </w:pPr>
            <w:r>
              <w:rPr>
                <w:rFonts w:hint="eastAsia" w:ascii="仿宋_GB2312" w:hAnsi="仿宋_GB2312" w:eastAsia="仿宋_GB2312" w:cs="仿宋_GB2312"/>
                <w:sz w:val="18"/>
                <w:szCs w:val="18"/>
                <w:highlight w:val="none"/>
                <w:lang w:eastAsia="zh-CN"/>
              </w:rPr>
              <w:t>部门为履行职责而实际及时完成的组织建设工作数与计划工作数的比率，用以反映和考核部门组织建设工作完成情况。</w:t>
            </w:r>
          </w:p>
        </w:tc>
        <w:tc>
          <w:tcPr>
            <w:tcW w:w="1608" w:type="pct"/>
            <w:shd w:val="clear" w:color="auto" w:fill="auto"/>
            <w:vAlign w:val="center"/>
          </w:tcPr>
          <w:p w14:paraId="6332B301">
            <w:pPr>
              <w:pStyle w:val="11"/>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组织建设工作完成率=(实际及时完成的组织建设工作数/计划组织建设工作数)x100%</w:t>
            </w:r>
          </w:p>
          <w:p w14:paraId="0273638E">
            <w:pPr>
              <w:pStyle w:val="11"/>
              <w:rPr>
                <w:rFonts w:hint="eastAsia" w:ascii="仿宋_GB2312" w:hAnsi="仿宋_GB2312" w:eastAsia="仿宋_GB2312" w:cs="仿宋_GB2312"/>
                <w:snapToGrid w:val="0"/>
                <w:color w:val="000000"/>
                <w:sz w:val="18"/>
                <w:szCs w:val="18"/>
                <w:highlight w:val="none"/>
                <w:lang w:val="en-US" w:eastAsia="zh-CN" w:bidi="ar-SA"/>
              </w:rPr>
            </w:pPr>
            <w:r>
              <w:rPr>
                <w:rFonts w:hint="eastAsia" w:ascii="仿宋_GB2312" w:hAnsi="仿宋_GB2312" w:eastAsia="仿宋_GB2312" w:cs="仿宋_GB2312"/>
                <w:sz w:val="18"/>
                <w:szCs w:val="18"/>
                <w:highlight w:val="none"/>
                <w:lang w:eastAsia="zh-CN"/>
              </w:rPr>
              <w:t>评分规则：得分=组织建设工作完成率x分值。</w:t>
            </w:r>
          </w:p>
        </w:tc>
        <w:tc>
          <w:tcPr>
            <w:tcW w:w="1240" w:type="pct"/>
            <w:shd w:val="clear" w:color="auto" w:fill="auto"/>
            <w:vAlign w:val="center"/>
          </w:tcPr>
          <w:p w14:paraId="4B90F9BE">
            <w:pPr>
              <w:pStyle w:val="11"/>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组织建设工作完成率=(实际及时完成的组织建设工作数</w:t>
            </w:r>
            <w:r>
              <w:rPr>
                <w:rFonts w:hint="eastAsia" w:ascii="仿宋_GB2312" w:hAnsi="仿宋_GB2312" w:eastAsia="仿宋_GB2312" w:cs="仿宋_GB2312"/>
                <w:sz w:val="18"/>
                <w:szCs w:val="18"/>
                <w:highlight w:val="none"/>
                <w:lang w:val="en-US" w:eastAsia="zh-CN"/>
              </w:rPr>
              <w:t>90</w:t>
            </w:r>
            <w:r>
              <w:rPr>
                <w:rFonts w:hint="eastAsia" w:ascii="仿宋_GB2312" w:hAnsi="仿宋_GB2312" w:eastAsia="仿宋_GB2312" w:cs="仿宋_GB2312"/>
                <w:sz w:val="18"/>
                <w:szCs w:val="18"/>
                <w:highlight w:val="none"/>
                <w:lang w:eastAsia="zh-CN"/>
              </w:rPr>
              <w:t>次/计划组织建设工作数</w:t>
            </w:r>
            <w:r>
              <w:rPr>
                <w:rFonts w:hint="eastAsia" w:ascii="仿宋_GB2312" w:hAnsi="仿宋_GB2312" w:eastAsia="仿宋_GB2312" w:cs="仿宋_GB2312"/>
                <w:sz w:val="18"/>
                <w:szCs w:val="18"/>
                <w:highlight w:val="none"/>
                <w:lang w:val="en-US" w:eastAsia="zh-CN"/>
              </w:rPr>
              <w:t>90</w:t>
            </w:r>
            <w:r>
              <w:rPr>
                <w:rFonts w:hint="eastAsia" w:ascii="仿宋_GB2312" w:hAnsi="仿宋_GB2312" w:eastAsia="仿宋_GB2312" w:cs="仿宋_GB2312"/>
                <w:sz w:val="18"/>
                <w:szCs w:val="18"/>
                <w:highlight w:val="none"/>
                <w:lang w:eastAsia="zh-CN"/>
              </w:rPr>
              <w:t>次)x100%</w:t>
            </w:r>
          </w:p>
          <w:p w14:paraId="086480D3">
            <w:pPr>
              <w:pStyle w:val="11"/>
              <w:rPr>
                <w:rFonts w:hint="eastAsia" w:ascii="仿宋_GB2312" w:hAnsi="仿宋_GB2312" w:eastAsia="仿宋_GB2312" w:cs="仿宋_GB2312"/>
                <w:snapToGrid w:val="0"/>
                <w:color w:val="000000"/>
                <w:sz w:val="18"/>
                <w:szCs w:val="18"/>
                <w:highlight w:val="none"/>
                <w:lang w:val="en-US" w:eastAsia="zh-CN" w:bidi="ar-SA"/>
              </w:rPr>
            </w:pPr>
            <w:r>
              <w:rPr>
                <w:rFonts w:hint="eastAsia" w:ascii="仿宋_GB2312" w:hAnsi="仿宋_GB2312" w:eastAsia="仿宋_GB2312" w:cs="仿宋_GB2312"/>
                <w:sz w:val="18"/>
                <w:szCs w:val="18"/>
                <w:highlight w:val="none"/>
                <w:lang w:eastAsia="zh-CN"/>
              </w:rPr>
              <w:t>，实际完成每月办公会、每月业务分析会，完成“三会一课”等</w:t>
            </w:r>
            <w:r>
              <w:rPr>
                <w:rFonts w:hint="eastAsia" w:ascii="仿宋_GB2312" w:hAnsi="仿宋_GB2312" w:eastAsia="仿宋_GB2312" w:cs="仿宋_GB2312"/>
                <w:sz w:val="18"/>
                <w:szCs w:val="18"/>
                <w:highlight w:val="none"/>
                <w:lang w:val="en-US" w:eastAsia="zh-CN"/>
              </w:rPr>
              <w:t>90</w:t>
            </w:r>
            <w:r>
              <w:rPr>
                <w:rFonts w:hint="eastAsia" w:ascii="仿宋_GB2312" w:hAnsi="仿宋_GB2312" w:eastAsia="仿宋_GB2312" w:cs="仿宋_GB2312"/>
                <w:sz w:val="18"/>
                <w:szCs w:val="18"/>
                <w:highlight w:val="none"/>
                <w:lang w:eastAsia="zh-CN"/>
              </w:rPr>
              <w:t>次。</w:t>
            </w:r>
          </w:p>
        </w:tc>
        <w:tc>
          <w:tcPr>
            <w:tcW w:w="233" w:type="pct"/>
            <w:shd w:val="clear" w:color="auto" w:fill="auto"/>
            <w:vAlign w:val="center"/>
          </w:tcPr>
          <w:p w14:paraId="2023D213">
            <w:pPr>
              <w:pStyle w:val="11"/>
              <w:jc w:val="center"/>
              <w:rPr>
                <w:rFonts w:hint="eastAsia" w:ascii="仿宋_GB2312" w:hAnsi="仿宋_GB2312" w:eastAsia="仿宋_GB2312" w:cs="仿宋_GB2312"/>
                <w:snapToGrid w:val="0"/>
                <w:color w:val="000000"/>
                <w:sz w:val="18"/>
                <w:szCs w:val="18"/>
                <w:highlight w:val="none"/>
                <w:lang w:val="en-US" w:eastAsia="zh-CN" w:bidi="ar-SA"/>
              </w:rPr>
            </w:pPr>
            <w:r>
              <w:rPr>
                <w:rFonts w:hint="eastAsia" w:ascii="仿宋_GB2312" w:hAnsi="仿宋_GB2312" w:eastAsia="仿宋_GB2312" w:cs="仿宋_GB2312"/>
                <w:sz w:val="18"/>
                <w:szCs w:val="18"/>
                <w:highlight w:val="none"/>
                <w:lang w:eastAsia="zh-CN"/>
              </w:rPr>
              <w:t>1</w:t>
            </w:r>
          </w:p>
        </w:tc>
      </w:tr>
      <w:tr w14:paraId="70E70E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7" w:hRule="atLeast"/>
          <w:jc w:val="center"/>
        </w:trPr>
        <w:tc>
          <w:tcPr>
            <w:tcW w:w="254" w:type="pct"/>
            <w:vMerge w:val="continue"/>
            <w:vAlign w:val="center"/>
          </w:tcPr>
          <w:p w14:paraId="24705D67">
            <w:pPr>
              <w:pStyle w:val="11"/>
              <w:jc w:val="center"/>
              <w:rPr>
                <w:rFonts w:hint="eastAsia" w:ascii="仿宋_GB2312" w:hAnsi="仿宋_GB2312" w:eastAsia="仿宋_GB2312" w:cs="仿宋_GB2312"/>
                <w:sz w:val="18"/>
                <w:szCs w:val="18"/>
                <w:highlight w:val="none"/>
              </w:rPr>
            </w:pPr>
          </w:p>
        </w:tc>
        <w:tc>
          <w:tcPr>
            <w:tcW w:w="297" w:type="pct"/>
            <w:vMerge w:val="continue"/>
            <w:tcBorders>
              <w:left w:val="single" w:color="auto" w:sz="4" w:space="0"/>
              <w:right w:val="single" w:color="auto" w:sz="4" w:space="0"/>
            </w:tcBorders>
            <w:vAlign w:val="center"/>
          </w:tcPr>
          <w:p w14:paraId="6A70F335">
            <w:pPr>
              <w:pStyle w:val="11"/>
              <w:jc w:val="center"/>
              <w:rPr>
                <w:rFonts w:hint="eastAsia" w:ascii="仿宋_GB2312" w:hAnsi="仿宋_GB2312" w:eastAsia="仿宋_GB2312" w:cs="仿宋_GB2312"/>
                <w:sz w:val="18"/>
                <w:szCs w:val="18"/>
                <w:highlight w:val="none"/>
              </w:rPr>
            </w:pPr>
          </w:p>
        </w:tc>
        <w:tc>
          <w:tcPr>
            <w:tcW w:w="284" w:type="pct"/>
            <w:tcBorders>
              <w:left w:val="single" w:color="auto" w:sz="4" w:space="0"/>
            </w:tcBorders>
            <w:shd w:val="clear" w:color="auto" w:fill="auto"/>
            <w:vAlign w:val="center"/>
          </w:tcPr>
          <w:p w14:paraId="56DA5641">
            <w:pPr>
              <w:pStyle w:val="11"/>
              <w:jc w:val="center"/>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B62</w:t>
            </w:r>
          </w:p>
          <w:p w14:paraId="4259F866">
            <w:pPr>
              <w:pStyle w:val="11"/>
              <w:jc w:val="center"/>
              <w:rPr>
                <w:rFonts w:hint="eastAsia" w:ascii="仿宋_GB2312" w:hAnsi="仿宋_GB2312" w:eastAsia="仿宋_GB2312" w:cs="仿宋_GB2312"/>
                <w:snapToGrid w:val="0"/>
                <w:color w:val="000000"/>
                <w:sz w:val="18"/>
                <w:szCs w:val="18"/>
                <w:highlight w:val="none"/>
                <w:lang w:val="en-US" w:eastAsia="zh-CN" w:bidi="ar-SA"/>
              </w:rPr>
            </w:pPr>
            <w:r>
              <w:rPr>
                <w:rFonts w:hint="eastAsia" w:ascii="仿宋_GB2312" w:hAnsi="仿宋_GB2312" w:eastAsia="仿宋_GB2312" w:cs="仿宋_GB2312"/>
                <w:sz w:val="18"/>
                <w:szCs w:val="18"/>
                <w:highlight w:val="none"/>
                <w:lang w:eastAsia="zh-CN"/>
              </w:rPr>
              <w:t>业务学习与培训及时完成率</w:t>
            </w:r>
          </w:p>
        </w:tc>
        <w:tc>
          <w:tcPr>
            <w:tcW w:w="231" w:type="pct"/>
            <w:shd w:val="clear" w:color="auto" w:fill="auto"/>
            <w:vAlign w:val="center"/>
          </w:tcPr>
          <w:p w14:paraId="065266C6">
            <w:pPr>
              <w:pStyle w:val="11"/>
              <w:jc w:val="center"/>
              <w:rPr>
                <w:rFonts w:hint="eastAsia" w:ascii="仿宋_GB2312" w:hAnsi="仿宋_GB2312" w:eastAsia="仿宋_GB2312" w:cs="仿宋_GB2312"/>
                <w:snapToGrid w:val="0"/>
                <w:color w:val="000000"/>
                <w:sz w:val="18"/>
                <w:szCs w:val="18"/>
                <w:highlight w:val="none"/>
                <w:lang w:val="en-US" w:eastAsia="en-US" w:bidi="ar-SA"/>
              </w:rPr>
            </w:pPr>
            <w:r>
              <w:rPr>
                <w:rFonts w:hint="eastAsia" w:ascii="仿宋_GB2312" w:hAnsi="仿宋_GB2312" w:eastAsia="仿宋_GB2312" w:cs="仿宋_GB2312"/>
                <w:sz w:val="18"/>
                <w:szCs w:val="18"/>
                <w:highlight w:val="none"/>
              </w:rPr>
              <w:t>100%</w:t>
            </w:r>
          </w:p>
        </w:tc>
        <w:tc>
          <w:tcPr>
            <w:tcW w:w="151" w:type="pct"/>
            <w:shd w:val="clear" w:color="auto" w:fill="auto"/>
            <w:vAlign w:val="center"/>
          </w:tcPr>
          <w:p w14:paraId="4EDC5196">
            <w:pPr>
              <w:pStyle w:val="11"/>
              <w:jc w:val="center"/>
              <w:rPr>
                <w:rFonts w:hint="eastAsia" w:ascii="仿宋_GB2312" w:hAnsi="仿宋_GB2312" w:eastAsia="仿宋_GB2312" w:cs="仿宋_GB2312"/>
                <w:snapToGrid w:val="0"/>
                <w:color w:val="000000"/>
                <w:sz w:val="18"/>
                <w:szCs w:val="18"/>
                <w:highlight w:val="none"/>
                <w:lang w:val="en-US" w:eastAsia="en-US" w:bidi="ar-SA"/>
              </w:rPr>
            </w:pPr>
            <w:r>
              <w:rPr>
                <w:rFonts w:hint="eastAsia" w:ascii="仿宋_GB2312" w:hAnsi="仿宋_GB2312" w:eastAsia="仿宋_GB2312" w:cs="仿宋_GB2312"/>
                <w:sz w:val="18"/>
                <w:szCs w:val="18"/>
                <w:highlight w:val="none"/>
              </w:rPr>
              <w:t>1</w:t>
            </w:r>
          </w:p>
        </w:tc>
        <w:tc>
          <w:tcPr>
            <w:tcW w:w="698" w:type="pct"/>
            <w:shd w:val="clear" w:color="auto" w:fill="auto"/>
            <w:vAlign w:val="center"/>
          </w:tcPr>
          <w:p w14:paraId="480287AD">
            <w:pPr>
              <w:pStyle w:val="11"/>
              <w:rPr>
                <w:rFonts w:hint="eastAsia" w:ascii="仿宋_GB2312" w:hAnsi="仿宋_GB2312" w:eastAsia="仿宋_GB2312" w:cs="仿宋_GB2312"/>
                <w:snapToGrid w:val="0"/>
                <w:color w:val="000000"/>
                <w:sz w:val="18"/>
                <w:szCs w:val="18"/>
                <w:highlight w:val="none"/>
                <w:lang w:val="en-US" w:eastAsia="zh-CN" w:bidi="ar-SA"/>
              </w:rPr>
            </w:pPr>
            <w:r>
              <w:rPr>
                <w:rFonts w:hint="eastAsia" w:ascii="仿宋_GB2312" w:hAnsi="仿宋_GB2312" w:eastAsia="仿宋_GB2312" w:cs="仿宋_GB2312"/>
                <w:sz w:val="18"/>
                <w:szCs w:val="18"/>
                <w:highlight w:val="none"/>
                <w:lang w:eastAsia="zh-CN"/>
              </w:rPr>
              <w:t>部门为履行职责而实际及时完成的业务学习与培训数与计划工作数的比率，用以反映和考核部门业务学习与培训工体完成情况。</w:t>
            </w:r>
          </w:p>
        </w:tc>
        <w:tc>
          <w:tcPr>
            <w:tcW w:w="1608" w:type="pct"/>
            <w:shd w:val="clear" w:color="auto" w:fill="auto"/>
            <w:vAlign w:val="center"/>
          </w:tcPr>
          <w:p w14:paraId="005E0924">
            <w:pPr>
              <w:pStyle w:val="11"/>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业务学习与培训及时完成率=(实际及时完成的业务学习与培训数/计划业务学习与培训数)×100%。</w:t>
            </w:r>
          </w:p>
          <w:p w14:paraId="1163B450">
            <w:pPr>
              <w:pStyle w:val="11"/>
              <w:rPr>
                <w:rFonts w:hint="eastAsia" w:ascii="仿宋_GB2312" w:hAnsi="仿宋_GB2312" w:eastAsia="仿宋_GB2312" w:cs="仿宋_GB2312"/>
                <w:snapToGrid w:val="0"/>
                <w:color w:val="000000"/>
                <w:sz w:val="18"/>
                <w:szCs w:val="18"/>
                <w:highlight w:val="none"/>
                <w:lang w:val="en-US" w:eastAsia="zh-CN" w:bidi="ar-SA"/>
              </w:rPr>
            </w:pPr>
            <w:r>
              <w:rPr>
                <w:rFonts w:hint="eastAsia" w:ascii="仿宋_GB2312" w:hAnsi="仿宋_GB2312" w:eastAsia="仿宋_GB2312" w:cs="仿宋_GB2312"/>
                <w:sz w:val="18"/>
                <w:szCs w:val="18"/>
                <w:highlight w:val="none"/>
                <w:lang w:eastAsia="zh-CN"/>
              </w:rPr>
              <w:t>评分规则：得分=业务学习与培训及时完成率×分值。</w:t>
            </w:r>
          </w:p>
        </w:tc>
        <w:tc>
          <w:tcPr>
            <w:tcW w:w="1240" w:type="pct"/>
            <w:shd w:val="clear" w:color="auto" w:fill="auto"/>
            <w:vAlign w:val="center"/>
          </w:tcPr>
          <w:p w14:paraId="47F0E674">
            <w:pPr>
              <w:pStyle w:val="11"/>
              <w:rPr>
                <w:rFonts w:hint="eastAsia" w:ascii="仿宋_GB2312" w:hAnsi="仿宋_GB2312" w:eastAsia="仿宋_GB2312" w:cs="仿宋_GB2312"/>
                <w:snapToGrid w:val="0"/>
                <w:color w:val="000000"/>
                <w:sz w:val="18"/>
                <w:szCs w:val="18"/>
                <w:highlight w:val="none"/>
                <w:lang w:val="en-US" w:eastAsia="zh-CN" w:bidi="ar-SA"/>
              </w:rPr>
            </w:pPr>
            <w:r>
              <w:rPr>
                <w:rFonts w:hint="eastAsia" w:ascii="仿宋_GB2312" w:hAnsi="仿宋_GB2312" w:eastAsia="仿宋_GB2312" w:cs="仿宋_GB2312"/>
                <w:sz w:val="18"/>
                <w:szCs w:val="18"/>
                <w:highlight w:val="none"/>
                <w:lang w:eastAsia="zh-CN"/>
              </w:rPr>
              <w:t>业务学习与培训及时完成率=(实际及时完成的业务学习与培训数1</w:t>
            </w:r>
            <w:r>
              <w:rPr>
                <w:rFonts w:hint="eastAsia" w:ascii="仿宋_GB2312" w:hAnsi="仿宋_GB2312" w:eastAsia="仿宋_GB2312" w:cs="仿宋_GB2312"/>
                <w:sz w:val="18"/>
                <w:szCs w:val="18"/>
                <w:highlight w:val="none"/>
                <w:lang w:val="en-US" w:eastAsia="zh-CN"/>
              </w:rPr>
              <w:t>3</w:t>
            </w:r>
            <w:r>
              <w:rPr>
                <w:rFonts w:hint="eastAsia" w:ascii="仿宋_GB2312" w:hAnsi="仿宋_GB2312" w:eastAsia="仿宋_GB2312" w:cs="仿宋_GB2312"/>
                <w:sz w:val="18"/>
                <w:szCs w:val="18"/>
                <w:highlight w:val="none"/>
                <w:lang w:eastAsia="zh-CN"/>
              </w:rPr>
              <w:t>次/计划业务学习与培训数1</w:t>
            </w:r>
            <w:r>
              <w:rPr>
                <w:rFonts w:hint="eastAsia" w:ascii="仿宋_GB2312" w:hAnsi="仿宋_GB2312" w:eastAsia="仿宋_GB2312" w:cs="仿宋_GB2312"/>
                <w:sz w:val="18"/>
                <w:szCs w:val="18"/>
                <w:highlight w:val="none"/>
                <w:lang w:val="en-US" w:eastAsia="zh-CN"/>
              </w:rPr>
              <w:t>3</w:t>
            </w:r>
            <w:r>
              <w:rPr>
                <w:rFonts w:hint="eastAsia" w:ascii="仿宋_GB2312" w:hAnsi="仿宋_GB2312" w:eastAsia="仿宋_GB2312" w:cs="仿宋_GB2312"/>
                <w:sz w:val="18"/>
                <w:szCs w:val="18"/>
                <w:highlight w:val="none"/>
                <w:lang w:eastAsia="zh-CN"/>
              </w:rPr>
              <w:t>次)×100%=100%</w:t>
            </w:r>
          </w:p>
        </w:tc>
        <w:tc>
          <w:tcPr>
            <w:tcW w:w="233" w:type="pct"/>
            <w:shd w:val="clear" w:color="auto" w:fill="auto"/>
            <w:vAlign w:val="center"/>
          </w:tcPr>
          <w:p w14:paraId="67545FCD">
            <w:pPr>
              <w:pStyle w:val="11"/>
              <w:jc w:val="center"/>
              <w:rPr>
                <w:rFonts w:hint="eastAsia" w:ascii="仿宋_GB2312" w:hAnsi="仿宋_GB2312" w:eastAsia="仿宋_GB2312" w:cs="仿宋_GB2312"/>
                <w:snapToGrid w:val="0"/>
                <w:color w:val="000000"/>
                <w:sz w:val="18"/>
                <w:szCs w:val="18"/>
                <w:highlight w:val="none"/>
                <w:lang w:val="en-US" w:eastAsia="en-US" w:bidi="ar-SA"/>
              </w:rPr>
            </w:pPr>
            <w:r>
              <w:rPr>
                <w:rFonts w:hint="eastAsia" w:ascii="仿宋_GB2312" w:hAnsi="仿宋_GB2312" w:eastAsia="仿宋_GB2312" w:cs="仿宋_GB2312"/>
                <w:sz w:val="18"/>
                <w:szCs w:val="18"/>
                <w:highlight w:val="none"/>
              </w:rPr>
              <w:t>1</w:t>
            </w:r>
          </w:p>
        </w:tc>
      </w:tr>
      <w:tr w14:paraId="227825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9" w:hRule="atLeast"/>
          <w:jc w:val="center"/>
        </w:trPr>
        <w:tc>
          <w:tcPr>
            <w:tcW w:w="254" w:type="pct"/>
            <w:vMerge w:val="continue"/>
            <w:vAlign w:val="center"/>
          </w:tcPr>
          <w:p w14:paraId="35CBC300">
            <w:pPr>
              <w:pStyle w:val="11"/>
              <w:jc w:val="center"/>
              <w:rPr>
                <w:rFonts w:hint="eastAsia" w:ascii="仿宋_GB2312" w:hAnsi="仿宋_GB2312" w:eastAsia="仿宋_GB2312" w:cs="仿宋_GB2312"/>
                <w:sz w:val="18"/>
                <w:szCs w:val="18"/>
                <w:highlight w:val="none"/>
              </w:rPr>
            </w:pPr>
          </w:p>
        </w:tc>
        <w:tc>
          <w:tcPr>
            <w:tcW w:w="297" w:type="pct"/>
            <w:vMerge w:val="continue"/>
            <w:tcBorders>
              <w:left w:val="single" w:color="auto" w:sz="4" w:space="0"/>
              <w:bottom w:val="single" w:color="auto" w:sz="4" w:space="0"/>
              <w:right w:val="single" w:color="auto" w:sz="4" w:space="0"/>
            </w:tcBorders>
            <w:vAlign w:val="center"/>
          </w:tcPr>
          <w:p w14:paraId="5C083533">
            <w:pPr>
              <w:pStyle w:val="11"/>
              <w:jc w:val="center"/>
              <w:rPr>
                <w:rFonts w:hint="eastAsia" w:ascii="仿宋_GB2312" w:hAnsi="仿宋_GB2312" w:eastAsia="仿宋_GB2312" w:cs="仿宋_GB2312"/>
                <w:sz w:val="18"/>
                <w:szCs w:val="18"/>
                <w:highlight w:val="none"/>
              </w:rPr>
            </w:pPr>
          </w:p>
        </w:tc>
        <w:tc>
          <w:tcPr>
            <w:tcW w:w="284" w:type="pct"/>
            <w:tcBorders>
              <w:left w:val="single" w:color="auto" w:sz="4" w:space="0"/>
            </w:tcBorders>
            <w:shd w:val="clear" w:color="auto" w:fill="auto"/>
            <w:vAlign w:val="center"/>
          </w:tcPr>
          <w:p w14:paraId="43C15B8A">
            <w:pPr>
              <w:pStyle w:val="11"/>
              <w:jc w:val="center"/>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B63</w:t>
            </w:r>
          </w:p>
          <w:p w14:paraId="5BA2B276">
            <w:pPr>
              <w:pStyle w:val="11"/>
              <w:jc w:val="center"/>
              <w:rPr>
                <w:rFonts w:hint="eastAsia" w:ascii="仿宋_GB2312" w:hAnsi="仿宋_GB2312" w:eastAsia="仿宋_GB2312" w:cs="仿宋_GB2312"/>
                <w:snapToGrid w:val="0"/>
                <w:color w:val="000000"/>
                <w:sz w:val="18"/>
                <w:szCs w:val="18"/>
                <w:highlight w:val="none"/>
                <w:lang w:val="en-US" w:eastAsia="zh-CN" w:bidi="ar-SA"/>
              </w:rPr>
            </w:pPr>
            <w:r>
              <w:rPr>
                <w:rFonts w:hint="eastAsia" w:ascii="仿宋_GB2312" w:hAnsi="仿宋_GB2312" w:eastAsia="仿宋_GB2312" w:cs="仿宋_GB2312"/>
                <w:sz w:val="18"/>
                <w:szCs w:val="18"/>
                <w:highlight w:val="none"/>
                <w:lang w:eastAsia="zh-CN"/>
              </w:rPr>
              <w:t>纪检监察工作有效性</w:t>
            </w:r>
          </w:p>
        </w:tc>
        <w:tc>
          <w:tcPr>
            <w:tcW w:w="231" w:type="pct"/>
            <w:shd w:val="clear" w:color="auto" w:fill="auto"/>
            <w:vAlign w:val="center"/>
          </w:tcPr>
          <w:p w14:paraId="3E35802E">
            <w:pPr>
              <w:pStyle w:val="11"/>
              <w:jc w:val="center"/>
              <w:rPr>
                <w:rFonts w:hint="eastAsia" w:ascii="仿宋_GB2312" w:hAnsi="仿宋_GB2312" w:eastAsia="仿宋_GB2312" w:cs="仿宋_GB2312"/>
                <w:snapToGrid w:val="0"/>
                <w:color w:val="000000"/>
                <w:sz w:val="18"/>
                <w:szCs w:val="18"/>
                <w:highlight w:val="none"/>
                <w:lang w:val="en-US" w:eastAsia="en-US" w:bidi="ar-SA"/>
              </w:rPr>
            </w:pPr>
            <w:r>
              <w:rPr>
                <w:rFonts w:hint="eastAsia" w:ascii="仿宋_GB2312" w:hAnsi="仿宋_GB2312" w:eastAsia="仿宋_GB2312" w:cs="仿宋_GB2312"/>
                <w:sz w:val="18"/>
                <w:szCs w:val="18"/>
                <w:highlight w:val="none"/>
              </w:rPr>
              <w:t>有效</w:t>
            </w:r>
          </w:p>
        </w:tc>
        <w:tc>
          <w:tcPr>
            <w:tcW w:w="151" w:type="pct"/>
            <w:shd w:val="clear" w:color="auto" w:fill="auto"/>
            <w:vAlign w:val="center"/>
          </w:tcPr>
          <w:p w14:paraId="53B0F9CC">
            <w:pPr>
              <w:pStyle w:val="11"/>
              <w:jc w:val="center"/>
              <w:rPr>
                <w:rFonts w:hint="eastAsia" w:ascii="仿宋_GB2312" w:hAnsi="仿宋_GB2312" w:eastAsia="仿宋_GB2312" w:cs="仿宋_GB2312"/>
                <w:snapToGrid w:val="0"/>
                <w:color w:val="000000"/>
                <w:sz w:val="18"/>
                <w:szCs w:val="18"/>
                <w:highlight w:val="none"/>
                <w:lang w:val="en-US" w:eastAsia="zh-CN" w:bidi="ar-SA"/>
              </w:rPr>
            </w:pPr>
            <w:r>
              <w:rPr>
                <w:rFonts w:hint="eastAsia" w:ascii="仿宋_GB2312" w:hAnsi="仿宋_GB2312" w:eastAsia="仿宋_GB2312" w:cs="仿宋_GB2312"/>
                <w:sz w:val="18"/>
                <w:szCs w:val="18"/>
                <w:highlight w:val="none"/>
                <w:lang w:eastAsia="zh-CN"/>
              </w:rPr>
              <w:t>1</w:t>
            </w:r>
          </w:p>
        </w:tc>
        <w:tc>
          <w:tcPr>
            <w:tcW w:w="698" w:type="pct"/>
            <w:shd w:val="clear" w:color="auto" w:fill="auto"/>
            <w:vAlign w:val="center"/>
          </w:tcPr>
          <w:p w14:paraId="7F821BDD">
            <w:pPr>
              <w:pStyle w:val="11"/>
              <w:rPr>
                <w:rFonts w:hint="eastAsia" w:ascii="仿宋_GB2312" w:hAnsi="仿宋_GB2312" w:eastAsia="仿宋_GB2312" w:cs="仿宋_GB2312"/>
                <w:snapToGrid w:val="0"/>
                <w:color w:val="000000"/>
                <w:sz w:val="18"/>
                <w:szCs w:val="18"/>
                <w:highlight w:val="none"/>
                <w:lang w:val="en-US" w:eastAsia="zh-CN" w:bidi="ar-SA"/>
              </w:rPr>
            </w:pPr>
            <w:r>
              <w:rPr>
                <w:rFonts w:hint="eastAsia" w:ascii="仿宋_GB2312" w:hAnsi="仿宋_GB2312" w:eastAsia="仿宋_GB2312" w:cs="仿宋_GB2312"/>
                <w:sz w:val="18"/>
                <w:szCs w:val="18"/>
                <w:highlight w:val="none"/>
                <w:lang w:eastAsia="zh-CN"/>
              </w:rPr>
              <w:t>部门为履行职责而开展的纪检监察工作的有效性情况，用以反映和考核部门纪检监察工作对部门正常运行和职责履行的保障作用。</w:t>
            </w:r>
          </w:p>
        </w:tc>
        <w:tc>
          <w:tcPr>
            <w:tcW w:w="1608" w:type="pct"/>
            <w:shd w:val="clear" w:color="auto" w:fill="auto"/>
            <w:vAlign w:val="center"/>
          </w:tcPr>
          <w:p w14:paraId="5D6EE9F4">
            <w:pPr>
              <w:pStyle w:val="11"/>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评价要点：</w:t>
            </w:r>
          </w:p>
          <w:p w14:paraId="0058E04D">
            <w:pPr>
              <w:pStyle w:val="11"/>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1.纪检监督工作实施程序规范、相关资料完整；</w:t>
            </w:r>
          </w:p>
          <w:p w14:paraId="00BBF4EF">
            <w:pPr>
              <w:pStyle w:val="11"/>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2.纪检监督结果切实运用。</w:t>
            </w:r>
          </w:p>
          <w:p w14:paraId="2C2CCF51">
            <w:pPr>
              <w:pStyle w:val="11"/>
              <w:rPr>
                <w:rFonts w:hint="eastAsia" w:ascii="仿宋_GB2312" w:hAnsi="仿宋_GB2312" w:eastAsia="仿宋_GB2312" w:cs="仿宋_GB2312"/>
                <w:snapToGrid w:val="0"/>
                <w:color w:val="000000"/>
                <w:sz w:val="18"/>
                <w:szCs w:val="18"/>
                <w:highlight w:val="none"/>
                <w:lang w:val="en-US" w:eastAsia="zh-CN" w:bidi="ar-SA"/>
              </w:rPr>
            </w:pPr>
            <w:r>
              <w:rPr>
                <w:rFonts w:hint="eastAsia" w:ascii="仿宋_GB2312" w:hAnsi="仿宋_GB2312" w:eastAsia="仿宋_GB2312" w:cs="仿宋_GB2312"/>
                <w:sz w:val="18"/>
                <w:szCs w:val="18"/>
                <w:highlight w:val="none"/>
                <w:lang w:eastAsia="zh-CN"/>
              </w:rPr>
              <w:t>评分规则：以上评价要点各占1/2分值，每个要点执行情况分为达成、部分达成、未达成三档，分别按分值的100%-30%(含)、80%-60%(含)、60%-0%合理确定分值。</w:t>
            </w:r>
          </w:p>
        </w:tc>
        <w:tc>
          <w:tcPr>
            <w:tcW w:w="1240" w:type="pct"/>
            <w:shd w:val="clear" w:color="auto" w:fill="auto"/>
            <w:vAlign w:val="center"/>
          </w:tcPr>
          <w:p w14:paraId="5B5A365D">
            <w:pPr>
              <w:pStyle w:val="11"/>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1.纪检监督工作实施程序规范、相关资料完整，达成</w:t>
            </w:r>
          </w:p>
          <w:p w14:paraId="79D4131D">
            <w:pPr>
              <w:pStyle w:val="11"/>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2.纪检监督结果切实运用，达成。</w:t>
            </w:r>
          </w:p>
          <w:p w14:paraId="1D883C82">
            <w:pPr>
              <w:pStyle w:val="11"/>
              <w:rPr>
                <w:rFonts w:hint="eastAsia" w:ascii="仿宋_GB2312" w:hAnsi="仿宋_GB2312" w:eastAsia="仿宋_GB2312" w:cs="仿宋_GB2312"/>
                <w:sz w:val="18"/>
                <w:szCs w:val="18"/>
                <w:highlight w:val="none"/>
                <w:lang w:eastAsia="zh-CN"/>
              </w:rPr>
            </w:pPr>
          </w:p>
          <w:p w14:paraId="16C8A7B7">
            <w:pPr>
              <w:pStyle w:val="11"/>
              <w:rPr>
                <w:rFonts w:hint="eastAsia" w:ascii="仿宋_GB2312" w:hAnsi="仿宋_GB2312" w:eastAsia="仿宋_GB2312" w:cs="仿宋_GB2312"/>
                <w:sz w:val="18"/>
                <w:szCs w:val="18"/>
                <w:highlight w:val="none"/>
                <w:lang w:eastAsia="zh-CN"/>
              </w:rPr>
            </w:pPr>
          </w:p>
          <w:p w14:paraId="7CE6613F">
            <w:pPr>
              <w:pStyle w:val="11"/>
              <w:rPr>
                <w:rFonts w:hint="eastAsia" w:ascii="仿宋_GB2312" w:hAnsi="仿宋_GB2312" w:eastAsia="仿宋_GB2312" w:cs="仿宋_GB2312"/>
                <w:sz w:val="18"/>
                <w:szCs w:val="18"/>
                <w:highlight w:val="none"/>
                <w:lang w:eastAsia="zh-CN"/>
              </w:rPr>
            </w:pPr>
          </w:p>
          <w:p w14:paraId="0D6EF9BE">
            <w:pPr>
              <w:pStyle w:val="11"/>
              <w:rPr>
                <w:rFonts w:hint="eastAsia" w:ascii="仿宋_GB2312" w:hAnsi="仿宋_GB2312" w:eastAsia="仿宋_GB2312" w:cs="仿宋_GB2312"/>
                <w:sz w:val="18"/>
                <w:szCs w:val="18"/>
                <w:highlight w:val="none"/>
                <w:lang w:val="en-US" w:eastAsia="zh-CN"/>
              </w:rPr>
            </w:pPr>
          </w:p>
        </w:tc>
        <w:tc>
          <w:tcPr>
            <w:tcW w:w="233" w:type="pct"/>
            <w:shd w:val="clear" w:color="auto" w:fill="auto"/>
            <w:vAlign w:val="center"/>
          </w:tcPr>
          <w:p w14:paraId="04690539">
            <w:pPr>
              <w:pStyle w:val="11"/>
              <w:jc w:val="center"/>
              <w:rPr>
                <w:rFonts w:hint="eastAsia" w:ascii="仿宋_GB2312" w:hAnsi="仿宋_GB2312" w:eastAsia="仿宋_GB2312" w:cs="仿宋_GB2312"/>
                <w:snapToGrid w:val="0"/>
                <w:color w:val="000000"/>
                <w:sz w:val="18"/>
                <w:szCs w:val="18"/>
                <w:highlight w:val="none"/>
                <w:lang w:val="en-US" w:eastAsia="en-US" w:bidi="ar-SA"/>
              </w:rPr>
            </w:pPr>
            <w:r>
              <w:rPr>
                <w:rFonts w:hint="eastAsia" w:ascii="仿宋_GB2312" w:hAnsi="仿宋_GB2312" w:eastAsia="仿宋_GB2312" w:cs="仿宋_GB2312"/>
                <w:sz w:val="18"/>
                <w:szCs w:val="18"/>
                <w:highlight w:val="none"/>
              </w:rPr>
              <w:t>1</w:t>
            </w:r>
          </w:p>
        </w:tc>
      </w:tr>
      <w:tr w14:paraId="7F4B20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4" w:hRule="atLeast"/>
          <w:jc w:val="center"/>
        </w:trPr>
        <w:tc>
          <w:tcPr>
            <w:tcW w:w="254" w:type="pct"/>
            <w:vMerge w:val="restart"/>
            <w:tcBorders>
              <w:right w:val="single" w:color="auto" w:sz="4" w:space="0"/>
            </w:tcBorders>
            <w:vAlign w:val="center"/>
          </w:tcPr>
          <w:p w14:paraId="1ECFBD7D">
            <w:pPr>
              <w:pStyle w:val="11"/>
              <w:jc w:val="center"/>
              <w:rPr>
                <w:rFonts w:hint="eastAsia" w:ascii="仿宋_GB2312" w:hAnsi="仿宋_GB2312" w:eastAsia="仿宋_GB2312" w:cs="仿宋_GB2312"/>
                <w:sz w:val="18"/>
                <w:szCs w:val="18"/>
                <w:highlight w:val="none"/>
              </w:rPr>
            </w:pPr>
            <w:r>
              <w:rPr>
                <w:rFonts w:hint="eastAsia" w:ascii="仿宋_GB2312" w:hAnsi="仿宋_GB2312" w:eastAsia="仿宋_GB2312" w:cs="仿宋_GB2312"/>
                <w:sz w:val="18"/>
                <w:szCs w:val="18"/>
                <w:highlight w:val="none"/>
              </w:rPr>
              <w:t>C履职(28)</w:t>
            </w:r>
          </w:p>
        </w:tc>
        <w:tc>
          <w:tcPr>
            <w:tcW w:w="297" w:type="pct"/>
            <w:tcBorders>
              <w:top w:val="single" w:color="auto" w:sz="4" w:space="0"/>
              <w:left w:val="single" w:color="auto" w:sz="4" w:space="0"/>
              <w:right w:val="single" w:color="auto" w:sz="4" w:space="0"/>
            </w:tcBorders>
            <w:vAlign w:val="center"/>
          </w:tcPr>
          <w:p w14:paraId="00CE5CE3">
            <w:pPr>
              <w:pStyle w:val="11"/>
              <w:jc w:val="center"/>
              <w:rPr>
                <w:rFonts w:hint="eastAsia" w:ascii="仿宋_GB2312" w:hAnsi="仿宋_GB2312" w:eastAsia="仿宋_GB2312" w:cs="仿宋_GB2312"/>
                <w:sz w:val="18"/>
                <w:szCs w:val="18"/>
                <w:highlight w:val="none"/>
              </w:rPr>
            </w:pPr>
            <w:r>
              <w:rPr>
                <w:rFonts w:hint="eastAsia" w:ascii="仿宋_GB2312" w:hAnsi="仿宋_GB2312" w:eastAsia="仿宋_GB2312" w:cs="仿宋_GB2312"/>
                <w:sz w:val="18"/>
                <w:szCs w:val="18"/>
                <w:highlight w:val="none"/>
              </w:rPr>
              <w:t>C1</w:t>
            </w:r>
          </w:p>
          <w:p w14:paraId="3090818D">
            <w:pPr>
              <w:pStyle w:val="11"/>
              <w:jc w:val="center"/>
              <w:rPr>
                <w:rFonts w:hint="eastAsia" w:ascii="仿宋_GB2312" w:hAnsi="仿宋_GB2312" w:eastAsia="仿宋_GB2312" w:cs="仿宋_GB2312"/>
                <w:sz w:val="18"/>
                <w:szCs w:val="18"/>
                <w:highlight w:val="none"/>
              </w:rPr>
            </w:pPr>
            <w:r>
              <w:rPr>
                <w:rFonts w:hint="eastAsia" w:ascii="仿宋_GB2312" w:hAnsi="仿宋_GB2312" w:eastAsia="仿宋_GB2312" w:cs="仿宋_GB2312"/>
                <w:sz w:val="18"/>
                <w:szCs w:val="18"/>
                <w:highlight w:val="none"/>
                <w:lang w:eastAsia="zh-CN"/>
              </w:rPr>
              <w:t>受理仲裁案件</w:t>
            </w:r>
            <w:r>
              <w:rPr>
                <w:rFonts w:hint="eastAsia" w:ascii="仿宋_GB2312" w:hAnsi="仿宋_GB2312" w:eastAsia="仿宋_GB2312" w:cs="仿宋_GB2312"/>
                <w:sz w:val="18"/>
                <w:szCs w:val="18"/>
                <w:highlight w:val="none"/>
              </w:rPr>
              <w:t>(</w:t>
            </w:r>
            <w:r>
              <w:rPr>
                <w:rFonts w:hint="eastAsia" w:ascii="仿宋_GB2312" w:hAnsi="仿宋_GB2312" w:eastAsia="仿宋_GB2312" w:cs="仿宋_GB2312"/>
                <w:sz w:val="18"/>
                <w:szCs w:val="18"/>
                <w:highlight w:val="none"/>
                <w:lang w:val="en-US" w:eastAsia="zh-CN"/>
              </w:rPr>
              <w:t>20</w:t>
            </w:r>
            <w:r>
              <w:rPr>
                <w:rFonts w:hint="eastAsia" w:ascii="仿宋_GB2312" w:hAnsi="仿宋_GB2312" w:eastAsia="仿宋_GB2312" w:cs="仿宋_GB2312"/>
                <w:sz w:val="18"/>
                <w:szCs w:val="18"/>
                <w:highlight w:val="none"/>
              </w:rPr>
              <w:t>)</w:t>
            </w:r>
          </w:p>
        </w:tc>
        <w:tc>
          <w:tcPr>
            <w:tcW w:w="284" w:type="pct"/>
            <w:tcBorders>
              <w:left w:val="single" w:color="auto" w:sz="4" w:space="0"/>
            </w:tcBorders>
            <w:shd w:val="clear" w:color="auto" w:fill="auto"/>
            <w:vAlign w:val="center"/>
          </w:tcPr>
          <w:p w14:paraId="1CEE3B99">
            <w:pPr>
              <w:pStyle w:val="11"/>
              <w:jc w:val="center"/>
              <w:rPr>
                <w:rFonts w:hint="eastAsia" w:ascii="仿宋_GB2312" w:hAnsi="仿宋_GB2312" w:eastAsia="仿宋_GB2312" w:cs="仿宋_GB2312"/>
                <w:sz w:val="18"/>
                <w:szCs w:val="18"/>
                <w:highlight w:val="none"/>
              </w:rPr>
            </w:pPr>
            <w:r>
              <w:rPr>
                <w:rFonts w:hint="eastAsia" w:ascii="仿宋_GB2312" w:hAnsi="仿宋_GB2312" w:eastAsia="仿宋_GB2312" w:cs="仿宋_GB2312"/>
                <w:sz w:val="18"/>
                <w:szCs w:val="18"/>
                <w:highlight w:val="none"/>
              </w:rPr>
              <w:t>C11</w:t>
            </w:r>
          </w:p>
          <w:p w14:paraId="7E2CE6AE">
            <w:pPr>
              <w:pStyle w:val="11"/>
              <w:jc w:val="center"/>
              <w:rPr>
                <w:rFonts w:hint="eastAsia" w:ascii="仿宋_GB2312" w:hAnsi="仿宋_GB2312" w:eastAsia="仿宋_GB2312" w:cs="仿宋_GB2312"/>
                <w:snapToGrid w:val="0"/>
                <w:color w:val="000000"/>
                <w:sz w:val="18"/>
                <w:szCs w:val="18"/>
                <w:highlight w:val="none"/>
                <w:lang w:val="en-US" w:eastAsia="en-US" w:bidi="ar-SA"/>
              </w:rPr>
            </w:pPr>
            <w:r>
              <w:rPr>
                <w:rFonts w:hint="eastAsia" w:ascii="仿宋_GB2312" w:hAnsi="仿宋_GB2312" w:eastAsia="仿宋_GB2312" w:cs="仿宋_GB2312"/>
                <w:sz w:val="18"/>
                <w:szCs w:val="18"/>
                <w:highlight w:val="none"/>
                <w:lang w:eastAsia="zh-CN"/>
              </w:rPr>
              <w:t>线下</w:t>
            </w:r>
            <w:r>
              <w:rPr>
                <w:rFonts w:hint="eastAsia" w:ascii="仿宋_GB2312" w:hAnsi="仿宋_GB2312" w:eastAsia="仿宋_GB2312" w:cs="仿宋_GB2312"/>
                <w:sz w:val="18"/>
                <w:szCs w:val="18"/>
                <w:highlight w:val="none"/>
              </w:rPr>
              <w:t>受理案件数</w:t>
            </w:r>
          </w:p>
        </w:tc>
        <w:tc>
          <w:tcPr>
            <w:tcW w:w="231" w:type="pct"/>
            <w:shd w:val="clear" w:color="auto" w:fill="auto"/>
            <w:vAlign w:val="center"/>
          </w:tcPr>
          <w:p w14:paraId="4C5A0BD4">
            <w:pPr>
              <w:pStyle w:val="11"/>
              <w:jc w:val="center"/>
              <w:rPr>
                <w:rFonts w:hint="eastAsia" w:ascii="仿宋_GB2312" w:hAnsi="仿宋_GB2312" w:eastAsia="仿宋_GB2312" w:cs="仿宋_GB2312"/>
                <w:snapToGrid w:val="0"/>
                <w:color w:val="000000"/>
                <w:sz w:val="18"/>
                <w:szCs w:val="18"/>
                <w:highlight w:val="none"/>
                <w:lang w:val="en-US" w:eastAsia="en-US" w:bidi="ar-SA"/>
              </w:rPr>
            </w:pPr>
            <w:r>
              <w:rPr>
                <w:rFonts w:hint="eastAsia" w:ascii="仿宋_GB2312" w:hAnsi="仿宋_GB2312" w:eastAsia="仿宋_GB2312" w:cs="仿宋_GB2312"/>
                <w:sz w:val="18"/>
                <w:szCs w:val="18"/>
                <w:highlight w:val="none"/>
              </w:rPr>
              <w:t>≥</w:t>
            </w:r>
            <w:r>
              <w:rPr>
                <w:rFonts w:hint="eastAsia" w:ascii="仿宋_GB2312" w:hAnsi="仿宋_GB2312" w:eastAsia="仿宋_GB2312" w:cs="仿宋_GB2312"/>
                <w:sz w:val="18"/>
                <w:szCs w:val="18"/>
                <w:highlight w:val="none"/>
                <w:lang w:val="en-US" w:eastAsia="zh-CN"/>
              </w:rPr>
              <w:t>2000</w:t>
            </w:r>
            <w:r>
              <w:rPr>
                <w:rFonts w:hint="eastAsia" w:ascii="仿宋_GB2312" w:hAnsi="仿宋_GB2312" w:eastAsia="仿宋_GB2312" w:cs="仿宋_GB2312"/>
                <w:sz w:val="18"/>
                <w:szCs w:val="18"/>
                <w:highlight w:val="none"/>
              </w:rPr>
              <w:t>件</w:t>
            </w:r>
          </w:p>
        </w:tc>
        <w:tc>
          <w:tcPr>
            <w:tcW w:w="151" w:type="pct"/>
            <w:shd w:val="clear" w:color="auto" w:fill="auto"/>
            <w:vAlign w:val="center"/>
          </w:tcPr>
          <w:p w14:paraId="30D605AB">
            <w:pPr>
              <w:pStyle w:val="11"/>
              <w:jc w:val="center"/>
              <w:rPr>
                <w:rFonts w:hint="default" w:ascii="仿宋_GB2312" w:hAnsi="仿宋_GB2312" w:eastAsia="仿宋_GB2312" w:cs="仿宋_GB2312"/>
                <w:snapToGrid w:val="0"/>
                <w:color w:val="000000"/>
                <w:sz w:val="18"/>
                <w:szCs w:val="18"/>
                <w:highlight w:val="none"/>
                <w:lang w:val="en-US" w:eastAsia="zh-CN" w:bidi="ar-SA"/>
              </w:rPr>
            </w:pPr>
            <w:r>
              <w:rPr>
                <w:rFonts w:hint="eastAsia" w:ascii="仿宋_GB2312" w:hAnsi="仿宋_GB2312" w:eastAsia="仿宋_GB2312" w:cs="仿宋_GB2312"/>
                <w:sz w:val="18"/>
                <w:szCs w:val="18"/>
                <w:highlight w:val="none"/>
                <w:lang w:val="en-US" w:eastAsia="zh-CN"/>
              </w:rPr>
              <w:t>20</w:t>
            </w:r>
          </w:p>
        </w:tc>
        <w:tc>
          <w:tcPr>
            <w:tcW w:w="698" w:type="pct"/>
            <w:shd w:val="clear" w:color="auto" w:fill="auto"/>
            <w:vAlign w:val="center"/>
          </w:tcPr>
          <w:p w14:paraId="25167FA7">
            <w:pPr>
              <w:pStyle w:val="11"/>
              <w:rPr>
                <w:rFonts w:hint="eastAsia" w:ascii="仿宋_GB2312" w:hAnsi="仿宋_GB2312" w:eastAsia="仿宋_GB2312" w:cs="仿宋_GB2312"/>
                <w:snapToGrid w:val="0"/>
                <w:color w:val="000000"/>
                <w:sz w:val="18"/>
                <w:szCs w:val="18"/>
                <w:highlight w:val="none"/>
                <w:lang w:val="en-US" w:eastAsia="zh-CN" w:bidi="ar-SA"/>
              </w:rPr>
            </w:pPr>
            <w:r>
              <w:rPr>
                <w:rFonts w:hint="eastAsia" w:ascii="仿宋_GB2312" w:hAnsi="仿宋_GB2312" w:eastAsia="仿宋_GB2312" w:cs="仿宋_GB2312"/>
                <w:sz w:val="18"/>
                <w:szCs w:val="18"/>
                <w:highlight w:val="none"/>
                <w:lang w:eastAsia="zh-CN"/>
              </w:rPr>
              <w:t>考察仲裁案件受理数量情况，反映履职目标的实现程度。</w:t>
            </w:r>
          </w:p>
        </w:tc>
        <w:tc>
          <w:tcPr>
            <w:tcW w:w="1608" w:type="pct"/>
            <w:shd w:val="clear" w:color="auto" w:fill="auto"/>
            <w:vAlign w:val="center"/>
          </w:tcPr>
          <w:p w14:paraId="1A196138">
            <w:pPr>
              <w:pStyle w:val="11"/>
              <w:rPr>
                <w:rFonts w:hint="eastAsia" w:ascii="仿宋_GB2312" w:hAnsi="仿宋_GB2312" w:eastAsia="仿宋_GB2312" w:cs="仿宋_GB2312"/>
                <w:snapToGrid w:val="0"/>
                <w:color w:val="000000"/>
                <w:sz w:val="18"/>
                <w:szCs w:val="18"/>
                <w:highlight w:val="none"/>
                <w:lang w:val="en-US" w:eastAsia="zh-CN" w:bidi="ar-SA"/>
              </w:rPr>
            </w:pPr>
            <w:r>
              <w:rPr>
                <w:rFonts w:hint="eastAsia" w:ascii="仿宋_GB2312" w:hAnsi="仿宋_GB2312" w:eastAsia="仿宋_GB2312" w:cs="仿宋_GB2312"/>
                <w:sz w:val="18"/>
                <w:szCs w:val="18"/>
                <w:highlight w:val="none"/>
                <w:lang w:eastAsia="zh-CN"/>
              </w:rPr>
              <w:t>评分规则：实际完成值达到标准值得满分。</w:t>
            </w:r>
          </w:p>
        </w:tc>
        <w:tc>
          <w:tcPr>
            <w:tcW w:w="1240" w:type="pct"/>
            <w:shd w:val="clear" w:color="auto" w:fill="auto"/>
            <w:vAlign w:val="center"/>
          </w:tcPr>
          <w:p w14:paraId="46629C12">
            <w:pPr>
              <w:pStyle w:val="11"/>
              <w:rPr>
                <w:rFonts w:hint="eastAsia" w:ascii="仿宋_GB2312" w:hAnsi="仿宋_GB2312" w:eastAsia="仿宋_GB2312" w:cs="仿宋_GB2312"/>
                <w:snapToGrid w:val="0"/>
                <w:color w:val="000000"/>
                <w:sz w:val="18"/>
                <w:szCs w:val="18"/>
                <w:highlight w:val="none"/>
                <w:lang w:val="en-US" w:eastAsia="zh-CN" w:bidi="ar-SA"/>
              </w:rPr>
            </w:pPr>
            <w:r>
              <w:rPr>
                <w:rFonts w:hint="eastAsia" w:ascii="仿宋_GB2312" w:hAnsi="仿宋_GB2312" w:eastAsia="仿宋_GB2312" w:cs="仿宋_GB2312"/>
                <w:sz w:val="18"/>
                <w:szCs w:val="18"/>
                <w:highlight w:val="none"/>
                <w:lang w:eastAsia="zh-CN"/>
              </w:rPr>
              <w:t>根据仲裁业务系统截图，202</w:t>
            </w:r>
            <w:r>
              <w:rPr>
                <w:rFonts w:hint="eastAsia" w:ascii="仿宋_GB2312" w:hAnsi="仿宋_GB2312" w:eastAsia="仿宋_GB2312" w:cs="仿宋_GB2312"/>
                <w:sz w:val="18"/>
                <w:szCs w:val="18"/>
                <w:highlight w:val="none"/>
                <w:lang w:val="en-US" w:eastAsia="zh-CN"/>
              </w:rPr>
              <w:t>5</w:t>
            </w:r>
            <w:r>
              <w:rPr>
                <w:rFonts w:hint="eastAsia" w:ascii="仿宋_GB2312" w:hAnsi="仿宋_GB2312" w:eastAsia="仿宋_GB2312" w:cs="仿宋_GB2312"/>
                <w:sz w:val="18"/>
                <w:szCs w:val="18"/>
                <w:highlight w:val="none"/>
                <w:lang w:eastAsia="zh-CN"/>
              </w:rPr>
              <w:t>年度受理案件</w:t>
            </w:r>
            <w:r>
              <w:rPr>
                <w:rFonts w:hint="eastAsia" w:ascii="仿宋_GB2312" w:hAnsi="仿宋_GB2312" w:eastAsia="仿宋_GB2312" w:cs="仿宋_GB2312"/>
                <w:sz w:val="18"/>
                <w:szCs w:val="18"/>
                <w:highlight w:val="none"/>
                <w:lang w:val="en-US" w:eastAsia="zh-CN"/>
              </w:rPr>
              <w:t>2496</w:t>
            </w:r>
            <w:r>
              <w:rPr>
                <w:rFonts w:hint="eastAsia" w:ascii="仿宋_GB2312" w:hAnsi="仿宋_GB2312" w:eastAsia="仿宋_GB2312" w:cs="仿宋_GB2312"/>
                <w:sz w:val="18"/>
                <w:szCs w:val="18"/>
                <w:highlight w:val="none"/>
                <w:lang w:eastAsia="zh-CN"/>
              </w:rPr>
              <w:t>件，达成。</w:t>
            </w:r>
          </w:p>
        </w:tc>
        <w:tc>
          <w:tcPr>
            <w:tcW w:w="233" w:type="pct"/>
            <w:shd w:val="clear" w:color="auto" w:fill="auto"/>
            <w:vAlign w:val="center"/>
          </w:tcPr>
          <w:p w14:paraId="3158FA0F">
            <w:pPr>
              <w:pStyle w:val="11"/>
              <w:jc w:val="center"/>
              <w:rPr>
                <w:rFonts w:hint="default" w:ascii="仿宋_GB2312" w:hAnsi="仿宋_GB2312" w:eastAsia="仿宋_GB2312" w:cs="仿宋_GB2312"/>
                <w:snapToGrid w:val="0"/>
                <w:color w:val="000000"/>
                <w:sz w:val="18"/>
                <w:szCs w:val="18"/>
                <w:highlight w:val="none"/>
                <w:lang w:val="en-US" w:eastAsia="zh-CN" w:bidi="ar-SA"/>
              </w:rPr>
            </w:pPr>
            <w:r>
              <w:rPr>
                <w:rFonts w:hint="eastAsia" w:ascii="仿宋_GB2312" w:hAnsi="仿宋_GB2312" w:eastAsia="仿宋_GB2312" w:cs="仿宋_GB2312"/>
                <w:sz w:val="18"/>
                <w:szCs w:val="18"/>
                <w:highlight w:val="none"/>
                <w:lang w:val="en-US" w:eastAsia="zh-CN"/>
              </w:rPr>
              <w:t>20</w:t>
            </w:r>
          </w:p>
        </w:tc>
      </w:tr>
      <w:tr w14:paraId="16864C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9" w:hRule="atLeast"/>
          <w:jc w:val="center"/>
        </w:trPr>
        <w:tc>
          <w:tcPr>
            <w:tcW w:w="254" w:type="pct"/>
            <w:vMerge w:val="continue"/>
            <w:tcBorders>
              <w:right w:val="single" w:color="auto" w:sz="4" w:space="0"/>
            </w:tcBorders>
            <w:vAlign w:val="center"/>
          </w:tcPr>
          <w:p w14:paraId="2B6834F9">
            <w:pPr>
              <w:pStyle w:val="11"/>
              <w:jc w:val="center"/>
              <w:rPr>
                <w:rFonts w:hint="eastAsia" w:ascii="仿宋_GB2312" w:hAnsi="仿宋_GB2312" w:eastAsia="仿宋_GB2312" w:cs="仿宋_GB2312"/>
                <w:sz w:val="18"/>
                <w:szCs w:val="18"/>
                <w:highlight w:val="none"/>
              </w:rPr>
            </w:pPr>
          </w:p>
        </w:tc>
        <w:tc>
          <w:tcPr>
            <w:tcW w:w="297" w:type="pct"/>
            <w:tcBorders>
              <w:top w:val="single" w:color="auto" w:sz="4" w:space="0"/>
              <w:left w:val="single" w:color="auto" w:sz="4" w:space="0"/>
              <w:right w:val="single" w:color="auto" w:sz="4" w:space="0"/>
            </w:tcBorders>
            <w:vAlign w:val="center"/>
          </w:tcPr>
          <w:p w14:paraId="181DED20">
            <w:pPr>
              <w:pStyle w:val="11"/>
              <w:jc w:val="center"/>
              <w:rPr>
                <w:rFonts w:hint="eastAsia" w:ascii="仿宋_GB2312" w:hAnsi="仿宋_GB2312" w:eastAsia="仿宋_GB2312" w:cs="仿宋_GB2312"/>
                <w:sz w:val="18"/>
                <w:szCs w:val="18"/>
                <w:lang w:eastAsia="zh-CN"/>
              </w:rPr>
            </w:pPr>
            <w:r>
              <w:rPr>
                <w:rFonts w:hint="eastAsia" w:ascii="仿宋_GB2312" w:hAnsi="仿宋_GB2312" w:eastAsia="仿宋_GB2312" w:cs="仿宋_GB2312"/>
                <w:sz w:val="18"/>
                <w:szCs w:val="18"/>
                <w:lang w:eastAsia="zh-CN"/>
              </w:rPr>
              <w:t>C</w:t>
            </w:r>
            <w:r>
              <w:rPr>
                <w:rFonts w:hint="eastAsia" w:ascii="仿宋_GB2312" w:hAnsi="仿宋_GB2312" w:eastAsia="仿宋_GB2312" w:cs="仿宋_GB2312"/>
                <w:sz w:val="18"/>
                <w:szCs w:val="18"/>
                <w:lang w:val="en-US" w:eastAsia="zh-CN"/>
              </w:rPr>
              <w:t>2</w:t>
            </w:r>
          </w:p>
          <w:p w14:paraId="2B628009">
            <w:pPr>
              <w:pStyle w:val="11"/>
              <w:jc w:val="center"/>
              <w:rPr>
                <w:rFonts w:hint="eastAsia" w:ascii="仿宋_GB2312" w:hAnsi="仿宋_GB2312" w:eastAsia="仿宋_GB2312" w:cs="仿宋_GB2312"/>
                <w:sz w:val="18"/>
                <w:szCs w:val="18"/>
                <w:highlight w:val="none"/>
              </w:rPr>
            </w:pPr>
            <w:r>
              <w:rPr>
                <w:rFonts w:hint="eastAsia" w:ascii="仿宋_GB2312" w:hAnsi="仿宋_GB2312" w:eastAsia="仿宋_GB2312" w:cs="仿宋_GB2312"/>
                <w:sz w:val="18"/>
                <w:szCs w:val="18"/>
                <w:lang w:eastAsia="zh-CN"/>
              </w:rPr>
              <w:t>宣传拓展(</w:t>
            </w:r>
            <w:r>
              <w:rPr>
                <w:rFonts w:hint="eastAsia" w:ascii="仿宋_GB2312" w:hAnsi="仿宋_GB2312" w:eastAsia="仿宋_GB2312" w:cs="仿宋_GB2312"/>
                <w:sz w:val="18"/>
                <w:szCs w:val="18"/>
                <w:lang w:val="en-US" w:eastAsia="zh-CN"/>
              </w:rPr>
              <w:t>8</w:t>
            </w:r>
            <w:r>
              <w:rPr>
                <w:rFonts w:hint="eastAsia" w:ascii="仿宋_GB2312" w:hAnsi="仿宋_GB2312" w:eastAsia="仿宋_GB2312" w:cs="仿宋_GB2312"/>
                <w:sz w:val="18"/>
                <w:szCs w:val="18"/>
                <w:lang w:eastAsia="zh-CN"/>
              </w:rPr>
              <w:t>)</w:t>
            </w:r>
          </w:p>
        </w:tc>
        <w:tc>
          <w:tcPr>
            <w:tcW w:w="284" w:type="pct"/>
            <w:tcBorders>
              <w:left w:val="single" w:color="auto" w:sz="4" w:space="0"/>
            </w:tcBorders>
            <w:shd w:val="clear" w:color="auto" w:fill="auto"/>
            <w:vAlign w:val="center"/>
          </w:tcPr>
          <w:p w14:paraId="4CD1B8B3">
            <w:pPr>
              <w:pStyle w:val="11"/>
              <w:jc w:val="center"/>
              <w:rPr>
                <w:rFonts w:hint="eastAsia" w:ascii="仿宋_GB2312" w:hAnsi="仿宋_GB2312" w:eastAsia="仿宋_GB2312" w:cs="仿宋_GB2312"/>
                <w:sz w:val="18"/>
                <w:szCs w:val="18"/>
                <w:lang w:eastAsia="zh-CN"/>
              </w:rPr>
            </w:pPr>
            <w:r>
              <w:rPr>
                <w:rFonts w:hint="eastAsia" w:ascii="仿宋_GB2312" w:hAnsi="仿宋_GB2312" w:eastAsia="仿宋_GB2312" w:cs="仿宋_GB2312"/>
                <w:sz w:val="18"/>
                <w:szCs w:val="18"/>
                <w:lang w:eastAsia="zh-CN"/>
              </w:rPr>
              <w:t>C</w:t>
            </w:r>
            <w:r>
              <w:rPr>
                <w:rFonts w:hint="eastAsia" w:ascii="仿宋_GB2312" w:hAnsi="仿宋_GB2312" w:eastAsia="仿宋_GB2312" w:cs="仿宋_GB2312"/>
                <w:sz w:val="18"/>
                <w:szCs w:val="18"/>
                <w:lang w:val="en-US" w:eastAsia="zh-CN"/>
              </w:rPr>
              <w:t>2</w:t>
            </w:r>
            <w:r>
              <w:rPr>
                <w:rFonts w:hint="eastAsia" w:ascii="仿宋_GB2312" w:hAnsi="仿宋_GB2312" w:eastAsia="仿宋_GB2312" w:cs="仿宋_GB2312"/>
                <w:sz w:val="18"/>
                <w:szCs w:val="18"/>
                <w:lang w:eastAsia="zh-CN"/>
              </w:rPr>
              <w:t>1</w:t>
            </w:r>
          </w:p>
          <w:p w14:paraId="0588F2EA">
            <w:pPr>
              <w:pStyle w:val="11"/>
              <w:jc w:val="center"/>
              <w:rPr>
                <w:rFonts w:hint="eastAsia" w:ascii="仿宋_GB2312" w:hAnsi="仿宋_GB2312" w:eastAsia="仿宋_GB2312" w:cs="仿宋_GB2312"/>
                <w:snapToGrid w:val="0"/>
                <w:color w:val="000000"/>
                <w:sz w:val="18"/>
                <w:szCs w:val="18"/>
                <w:lang w:val="en-US" w:eastAsia="zh-CN" w:bidi="ar-SA"/>
              </w:rPr>
            </w:pPr>
            <w:r>
              <w:rPr>
                <w:rFonts w:hint="eastAsia" w:ascii="仿宋_GB2312" w:hAnsi="仿宋_GB2312" w:eastAsia="仿宋_GB2312" w:cs="仿宋_GB2312"/>
                <w:snapToGrid w:val="0"/>
                <w:color w:val="000000"/>
                <w:sz w:val="18"/>
                <w:szCs w:val="18"/>
                <w:lang w:val="en-US" w:eastAsia="zh-CN" w:bidi="ar-SA"/>
              </w:rPr>
              <w:t>年度累计走访企业、律所等数量</w:t>
            </w:r>
          </w:p>
        </w:tc>
        <w:tc>
          <w:tcPr>
            <w:tcW w:w="231" w:type="pct"/>
            <w:shd w:val="clear" w:color="auto" w:fill="auto"/>
            <w:vAlign w:val="center"/>
          </w:tcPr>
          <w:p w14:paraId="705BF76A">
            <w:pPr>
              <w:pStyle w:val="11"/>
              <w:jc w:val="center"/>
              <w:rPr>
                <w:rFonts w:hint="eastAsia" w:ascii="仿宋_GB2312" w:hAnsi="仿宋_GB2312" w:eastAsia="仿宋_GB2312" w:cs="仿宋_GB2312"/>
                <w:snapToGrid w:val="0"/>
                <w:color w:val="000000"/>
                <w:sz w:val="18"/>
                <w:szCs w:val="18"/>
                <w:lang w:val="en-US" w:eastAsia="en-US" w:bidi="ar-SA"/>
              </w:rPr>
            </w:pPr>
            <w:r>
              <w:rPr>
                <w:rFonts w:hint="eastAsia" w:ascii="仿宋_GB2312" w:hAnsi="仿宋_GB2312" w:eastAsia="仿宋_GB2312" w:cs="仿宋_GB2312"/>
                <w:snapToGrid w:val="0"/>
                <w:color w:val="000000"/>
                <w:sz w:val="18"/>
                <w:szCs w:val="18"/>
                <w:lang w:val="en-US" w:eastAsia="en-US" w:bidi="ar-SA"/>
              </w:rPr>
              <w:t>≥40家</w:t>
            </w:r>
          </w:p>
        </w:tc>
        <w:tc>
          <w:tcPr>
            <w:tcW w:w="151" w:type="pct"/>
            <w:shd w:val="clear" w:color="auto" w:fill="auto"/>
            <w:vAlign w:val="center"/>
          </w:tcPr>
          <w:p w14:paraId="46BCF461">
            <w:pPr>
              <w:pStyle w:val="11"/>
              <w:jc w:val="center"/>
              <w:rPr>
                <w:rFonts w:hint="eastAsia" w:ascii="仿宋_GB2312" w:hAnsi="仿宋_GB2312" w:eastAsia="仿宋_GB2312" w:cs="仿宋_GB2312"/>
                <w:snapToGrid w:val="0"/>
                <w:color w:val="000000"/>
                <w:sz w:val="18"/>
                <w:szCs w:val="18"/>
                <w:lang w:val="en-US" w:eastAsia="zh-CN" w:bidi="ar-SA"/>
              </w:rPr>
            </w:pPr>
            <w:r>
              <w:rPr>
                <w:rFonts w:hint="eastAsia" w:ascii="仿宋_GB2312" w:hAnsi="仿宋_GB2312" w:eastAsia="仿宋_GB2312" w:cs="仿宋_GB2312"/>
                <w:sz w:val="18"/>
                <w:szCs w:val="18"/>
                <w:lang w:val="en-US" w:eastAsia="zh-CN"/>
              </w:rPr>
              <w:t>8</w:t>
            </w:r>
          </w:p>
        </w:tc>
        <w:tc>
          <w:tcPr>
            <w:tcW w:w="698" w:type="pct"/>
            <w:shd w:val="clear" w:color="auto" w:fill="auto"/>
            <w:vAlign w:val="center"/>
          </w:tcPr>
          <w:p w14:paraId="60EAB54F">
            <w:pPr>
              <w:pStyle w:val="11"/>
              <w:rPr>
                <w:rFonts w:hint="eastAsia" w:ascii="仿宋_GB2312" w:hAnsi="仿宋_GB2312" w:eastAsia="仿宋_GB2312" w:cs="仿宋_GB2312"/>
                <w:snapToGrid w:val="0"/>
                <w:color w:val="000000"/>
                <w:sz w:val="18"/>
                <w:szCs w:val="18"/>
                <w:lang w:val="en-US" w:eastAsia="zh-CN" w:bidi="ar-SA"/>
              </w:rPr>
            </w:pPr>
            <w:r>
              <w:rPr>
                <w:rFonts w:hint="eastAsia" w:ascii="仿宋_GB2312" w:hAnsi="仿宋_GB2312" w:eastAsia="仿宋_GB2312" w:cs="仿宋_GB2312"/>
                <w:sz w:val="18"/>
                <w:szCs w:val="18"/>
                <w:lang w:eastAsia="zh-CN"/>
              </w:rPr>
              <w:t>考察宣传拓展工作是否开展，反映履职目标的实现程度。</w:t>
            </w:r>
          </w:p>
        </w:tc>
        <w:tc>
          <w:tcPr>
            <w:tcW w:w="1608" w:type="pct"/>
            <w:shd w:val="clear" w:color="auto" w:fill="auto"/>
            <w:vAlign w:val="center"/>
          </w:tcPr>
          <w:p w14:paraId="01E3D823">
            <w:pPr>
              <w:pStyle w:val="11"/>
              <w:rPr>
                <w:rFonts w:hint="eastAsia" w:ascii="仿宋_GB2312" w:hAnsi="仿宋_GB2312" w:eastAsia="仿宋_GB2312" w:cs="仿宋_GB2312"/>
                <w:sz w:val="18"/>
                <w:szCs w:val="18"/>
                <w:lang w:eastAsia="zh-CN"/>
              </w:rPr>
            </w:pPr>
            <w:r>
              <w:rPr>
                <w:rFonts w:hint="eastAsia" w:ascii="仿宋_GB2312" w:hAnsi="仿宋_GB2312" w:eastAsia="仿宋_GB2312" w:cs="仿宋_GB2312"/>
                <w:sz w:val="18"/>
                <w:szCs w:val="18"/>
                <w:lang w:eastAsia="zh-CN"/>
              </w:rPr>
              <w:t>评价要点：</w:t>
            </w:r>
          </w:p>
          <w:p w14:paraId="7F23987F">
            <w:pPr>
              <w:pStyle w:val="11"/>
              <w:rPr>
                <w:rFonts w:hint="eastAsia" w:ascii="仿宋_GB2312" w:hAnsi="仿宋_GB2312" w:eastAsia="仿宋_GB2312" w:cs="仿宋_GB2312"/>
                <w:sz w:val="18"/>
                <w:szCs w:val="18"/>
                <w:lang w:eastAsia="zh-CN"/>
              </w:rPr>
            </w:pPr>
            <w:r>
              <w:rPr>
                <w:rFonts w:hint="eastAsia" w:ascii="仿宋_GB2312" w:hAnsi="仿宋_GB2312" w:eastAsia="仿宋_GB2312" w:cs="仿宋_GB2312"/>
                <w:sz w:val="18"/>
                <w:szCs w:val="18"/>
                <w:lang w:eastAsia="zh-CN"/>
              </w:rPr>
              <w:t>1.</w:t>
            </w:r>
            <w:r>
              <w:rPr>
                <w:rFonts w:hint="eastAsia" w:ascii="仿宋_GB2312" w:hAnsi="仿宋_GB2312" w:eastAsia="仿宋_GB2312" w:cs="仿宋_GB2312"/>
                <w:sz w:val="18"/>
                <w:szCs w:val="18"/>
                <w:lang w:val="en-US" w:eastAsia="zh-CN"/>
              </w:rPr>
              <w:t>走访企业、律师等数量</w:t>
            </w:r>
            <w:r>
              <w:rPr>
                <w:rFonts w:hint="eastAsia" w:ascii="仿宋_GB2312" w:hAnsi="仿宋_GB2312" w:eastAsia="仿宋_GB2312" w:cs="仿宋_GB2312"/>
                <w:sz w:val="18"/>
                <w:szCs w:val="18"/>
                <w:lang w:eastAsia="zh-CN"/>
              </w:rPr>
              <w:t>。</w:t>
            </w:r>
          </w:p>
          <w:p w14:paraId="7372F0F5">
            <w:pPr>
              <w:pStyle w:val="11"/>
              <w:rPr>
                <w:rFonts w:hint="eastAsia" w:ascii="仿宋_GB2312" w:hAnsi="仿宋_GB2312" w:eastAsia="仿宋_GB2312" w:cs="仿宋_GB2312"/>
                <w:snapToGrid w:val="0"/>
                <w:color w:val="000000"/>
                <w:sz w:val="18"/>
                <w:szCs w:val="18"/>
                <w:lang w:val="en-US" w:eastAsia="zh-CN" w:bidi="ar-SA"/>
              </w:rPr>
            </w:pPr>
            <w:r>
              <w:rPr>
                <w:rFonts w:hint="eastAsia" w:ascii="仿宋_GB2312" w:hAnsi="仿宋_GB2312" w:eastAsia="仿宋_GB2312" w:cs="仿宋_GB2312"/>
                <w:sz w:val="18"/>
                <w:szCs w:val="18"/>
                <w:lang w:eastAsia="zh-CN"/>
              </w:rPr>
              <w:t>评分规则：完成相关工作得满分，否则不得分。</w:t>
            </w:r>
          </w:p>
        </w:tc>
        <w:tc>
          <w:tcPr>
            <w:tcW w:w="1240" w:type="pct"/>
            <w:shd w:val="clear" w:color="auto" w:fill="auto"/>
            <w:vAlign w:val="center"/>
          </w:tcPr>
          <w:p w14:paraId="264349BA">
            <w:pPr>
              <w:pStyle w:val="11"/>
              <w:rPr>
                <w:rFonts w:hint="eastAsia" w:ascii="仿宋_GB2312" w:hAnsi="仿宋_GB2312" w:eastAsia="仿宋_GB2312" w:cs="仿宋_GB2312"/>
                <w:snapToGrid w:val="0"/>
                <w:color w:val="000000"/>
                <w:sz w:val="18"/>
                <w:szCs w:val="18"/>
                <w:lang w:val="en-US" w:eastAsia="zh-CN" w:bidi="ar-SA"/>
              </w:rPr>
            </w:pPr>
            <w:r>
              <w:rPr>
                <w:rFonts w:hint="eastAsia" w:ascii="仿宋_GB2312" w:hAnsi="仿宋_GB2312" w:eastAsia="仿宋_GB2312" w:cs="仿宋_GB2312"/>
                <w:sz w:val="18"/>
                <w:szCs w:val="18"/>
                <w:lang w:eastAsia="zh-CN"/>
              </w:rPr>
              <w:t>走访</w:t>
            </w:r>
            <w:r>
              <w:rPr>
                <w:rFonts w:hint="eastAsia" w:ascii="仿宋_GB2312" w:hAnsi="仿宋_GB2312" w:eastAsia="仿宋_GB2312" w:cs="仿宋_GB2312"/>
                <w:sz w:val="18"/>
                <w:szCs w:val="18"/>
                <w:lang w:val="en-US" w:eastAsia="zh-CN"/>
              </w:rPr>
              <w:t>省市国企、重点企业、律所50家</w:t>
            </w:r>
            <w:r>
              <w:rPr>
                <w:rFonts w:hint="eastAsia" w:ascii="仿宋_GB2312" w:hAnsi="仿宋_GB2312" w:eastAsia="仿宋_GB2312" w:cs="仿宋_GB2312"/>
                <w:sz w:val="18"/>
                <w:szCs w:val="18"/>
                <w:lang w:eastAsia="zh-CN"/>
              </w:rPr>
              <w:t>，达成。</w:t>
            </w:r>
          </w:p>
        </w:tc>
        <w:tc>
          <w:tcPr>
            <w:tcW w:w="233" w:type="pct"/>
            <w:shd w:val="clear" w:color="auto" w:fill="auto"/>
            <w:vAlign w:val="center"/>
          </w:tcPr>
          <w:p w14:paraId="31668E29">
            <w:pPr>
              <w:pStyle w:val="11"/>
              <w:jc w:val="center"/>
              <w:rPr>
                <w:rFonts w:hint="eastAsia" w:ascii="仿宋_GB2312" w:hAnsi="仿宋_GB2312" w:eastAsia="仿宋_GB2312" w:cs="仿宋_GB2312"/>
                <w:snapToGrid w:val="0"/>
                <w:color w:val="000000"/>
                <w:sz w:val="18"/>
                <w:szCs w:val="18"/>
                <w:lang w:val="en-US" w:eastAsia="zh-CN" w:bidi="ar-SA"/>
              </w:rPr>
            </w:pPr>
            <w:r>
              <w:rPr>
                <w:rFonts w:hint="eastAsia" w:ascii="仿宋_GB2312" w:hAnsi="仿宋_GB2312" w:eastAsia="仿宋_GB2312" w:cs="仿宋_GB2312"/>
                <w:sz w:val="18"/>
                <w:szCs w:val="18"/>
                <w:lang w:val="en-US" w:eastAsia="zh-CN"/>
              </w:rPr>
              <w:t>8</w:t>
            </w:r>
          </w:p>
        </w:tc>
      </w:tr>
      <w:tr w14:paraId="75CAB2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4" w:hRule="atLeast"/>
          <w:jc w:val="center"/>
        </w:trPr>
        <w:tc>
          <w:tcPr>
            <w:tcW w:w="254" w:type="pct"/>
            <w:vMerge w:val="restart"/>
            <w:tcBorders>
              <w:right w:val="single" w:color="auto" w:sz="4" w:space="0"/>
            </w:tcBorders>
            <w:vAlign w:val="center"/>
          </w:tcPr>
          <w:p w14:paraId="225935FE">
            <w:pPr>
              <w:pStyle w:val="11"/>
              <w:jc w:val="center"/>
              <w:rPr>
                <w:rFonts w:hint="eastAsia" w:ascii="仿宋_GB2312" w:hAnsi="仿宋_GB2312" w:eastAsia="仿宋_GB2312" w:cs="仿宋_GB2312"/>
                <w:sz w:val="18"/>
                <w:szCs w:val="18"/>
                <w:highlight w:val="none"/>
              </w:rPr>
            </w:pPr>
            <w:r>
              <w:rPr>
                <w:rFonts w:hint="eastAsia" w:ascii="仿宋_GB2312" w:hAnsi="仿宋_GB2312" w:eastAsia="仿宋_GB2312" w:cs="仿宋_GB2312"/>
                <w:sz w:val="18"/>
                <w:szCs w:val="18"/>
                <w:lang w:eastAsia="zh-CN"/>
              </w:rPr>
              <w:t>D效益（28）</w:t>
            </w:r>
          </w:p>
        </w:tc>
        <w:tc>
          <w:tcPr>
            <w:tcW w:w="297" w:type="pct"/>
            <w:tcBorders>
              <w:left w:val="single" w:color="auto" w:sz="4" w:space="0"/>
              <w:right w:val="single" w:color="auto" w:sz="4" w:space="0"/>
            </w:tcBorders>
            <w:vAlign w:val="center"/>
          </w:tcPr>
          <w:p w14:paraId="577E590F">
            <w:pPr>
              <w:pStyle w:val="11"/>
              <w:jc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D1</w:t>
            </w:r>
          </w:p>
          <w:p w14:paraId="7108D3C8">
            <w:pPr>
              <w:pStyle w:val="11"/>
              <w:jc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经济效益</w:t>
            </w:r>
          </w:p>
          <w:p w14:paraId="5ADAA3F8">
            <w:pPr>
              <w:pStyle w:val="11"/>
              <w:jc w:val="center"/>
              <w:rPr>
                <w:rFonts w:hint="eastAsia" w:ascii="仿宋_GB2312" w:hAnsi="仿宋_GB2312" w:eastAsia="仿宋_GB2312" w:cs="仿宋_GB2312"/>
                <w:sz w:val="18"/>
                <w:szCs w:val="18"/>
                <w:highlight w:val="none"/>
              </w:rPr>
            </w:pPr>
            <w:r>
              <w:rPr>
                <w:rFonts w:hint="eastAsia" w:ascii="仿宋_GB2312" w:hAnsi="仿宋_GB2312" w:eastAsia="仿宋_GB2312" w:cs="仿宋_GB2312"/>
                <w:sz w:val="18"/>
                <w:szCs w:val="18"/>
              </w:rPr>
              <w:t>(</w:t>
            </w:r>
            <w:r>
              <w:rPr>
                <w:rFonts w:hint="eastAsia" w:ascii="仿宋_GB2312" w:hAnsi="仿宋_GB2312" w:eastAsia="仿宋_GB2312" w:cs="仿宋_GB2312"/>
                <w:sz w:val="18"/>
                <w:szCs w:val="18"/>
                <w:lang w:val="en-US" w:eastAsia="zh-CN"/>
              </w:rPr>
              <w:t>1</w:t>
            </w:r>
            <w:r>
              <w:rPr>
                <w:rFonts w:hint="eastAsia" w:ascii="仿宋_GB2312" w:hAnsi="仿宋_GB2312" w:eastAsia="仿宋_GB2312" w:cs="仿宋_GB2312"/>
                <w:sz w:val="18"/>
                <w:szCs w:val="18"/>
              </w:rPr>
              <w:t>4)</w:t>
            </w:r>
          </w:p>
        </w:tc>
        <w:tc>
          <w:tcPr>
            <w:tcW w:w="284" w:type="pct"/>
            <w:tcBorders>
              <w:left w:val="single" w:color="auto" w:sz="4" w:space="0"/>
            </w:tcBorders>
            <w:shd w:val="clear" w:color="auto" w:fill="auto"/>
            <w:vAlign w:val="center"/>
          </w:tcPr>
          <w:p w14:paraId="607395C2">
            <w:pPr>
              <w:pStyle w:val="11"/>
              <w:jc w:val="center"/>
              <w:rPr>
                <w:rFonts w:hint="default" w:ascii="仿宋_GB2312" w:hAnsi="仿宋_GB2312" w:eastAsia="仿宋_GB2312" w:cs="仿宋_GB2312"/>
                <w:sz w:val="18"/>
                <w:szCs w:val="18"/>
                <w:lang w:val="en-US" w:eastAsia="zh-CN"/>
              </w:rPr>
            </w:pPr>
            <w:r>
              <w:rPr>
                <w:rFonts w:hint="eastAsia" w:ascii="仿宋_GB2312" w:hAnsi="仿宋_GB2312" w:eastAsia="仿宋_GB2312" w:cs="仿宋_GB2312"/>
                <w:sz w:val="18"/>
                <w:szCs w:val="18"/>
                <w:lang w:eastAsia="zh-CN"/>
              </w:rPr>
              <w:t>D1</w:t>
            </w:r>
            <w:r>
              <w:rPr>
                <w:rFonts w:hint="eastAsia" w:ascii="仿宋_GB2312" w:hAnsi="仿宋_GB2312" w:eastAsia="仿宋_GB2312" w:cs="仿宋_GB2312"/>
                <w:sz w:val="18"/>
                <w:szCs w:val="18"/>
                <w:lang w:val="en-US" w:eastAsia="zh-CN"/>
              </w:rPr>
              <w:t>1</w:t>
            </w:r>
          </w:p>
          <w:p w14:paraId="2F133571">
            <w:pPr>
              <w:pStyle w:val="11"/>
              <w:jc w:val="center"/>
              <w:rPr>
                <w:rFonts w:hint="eastAsia" w:ascii="仿宋_GB2312" w:hAnsi="仿宋_GB2312" w:eastAsia="仿宋_GB2312" w:cs="仿宋_GB2312"/>
                <w:snapToGrid w:val="0"/>
                <w:color w:val="000000"/>
                <w:sz w:val="18"/>
                <w:szCs w:val="18"/>
                <w:lang w:val="en-US" w:eastAsia="zh-CN" w:bidi="ar-SA"/>
              </w:rPr>
            </w:pPr>
            <w:r>
              <w:rPr>
                <w:rFonts w:hint="eastAsia" w:ascii="仿宋_GB2312" w:hAnsi="仿宋_GB2312" w:eastAsia="仿宋_GB2312" w:cs="仿宋_GB2312"/>
                <w:sz w:val="18"/>
                <w:szCs w:val="18"/>
                <w:lang w:eastAsia="zh-CN"/>
              </w:rPr>
              <w:t>线下受理案件争议金额</w:t>
            </w:r>
          </w:p>
        </w:tc>
        <w:tc>
          <w:tcPr>
            <w:tcW w:w="231" w:type="pct"/>
            <w:shd w:val="clear" w:color="auto" w:fill="auto"/>
            <w:vAlign w:val="center"/>
          </w:tcPr>
          <w:p w14:paraId="5527D6A4">
            <w:pPr>
              <w:pStyle w:val="11"/>
              <w:jc w:val="center"/>
              <w:rPr>
                <w:rFonts w:hint="default" w:ascii="仿宋_GB2312" w:hAnsi="仿宋_GB2312" w:eastAsia="仿宋_GB2312" w:cs="仿宋_GB2312"/>
                <w:snapToGrid w:val="0"/>
                <w:color w:val="000000"/>
                <w:sz w:val="18"/>
                <w:szCs w:val="18"/>
                <w:lang w:val="en-US" w:eastAsia="zh-CN" w:bidi="ar-SA"/>
              </w:rPr>
            </w:pPr>
            <w:r>
              <w:rPr>
                <w:rFonts w:hint="eastAsia" w:ascii="仿宋_GB2312" w:hAnsi="仿宋_GB2312" w:eastAsia="仿宋_GB2312" w:cs="仿宋_GB2312"/>
                <w:sz w:val="18"/>
                <w:szCs w:val="18"/>
              </w:rPr>
              <w:t>≥</w:t>
            </w:r>
            <w:r>
              <w:rPr>
                <w:rFonts w:hint="eastAsia" w:ascii="仿宋_GB2312" w:hAnsi="仿宋_GB2312" w:eastAsia="仿宋_GB2312" w:cs="仿宋_GB2312"/>
                <w:sz w:val="18"/>
                <w:szCs w:val="18"/>
                <w:lang w:val="en-US" w:eastAsia="zh-CN"/>
              </w:rPr>
              <w:t>80亿</w:t>
            </w:r>
          </w:p>
        </w:tc>
        <w:tc>
          <w:tcPr>
            <w:tcW w:w="151" w:type="pct"/>
            <w:shd w:val="clear" w:color="auto" w:fill="auto"/>
            <w:vAlign w:val="center"/>
          </w:tcPr>
          <w:p w14:paraId="445B1884">
            <w:pPr>
              <w:pStyle w:val="11"/>
              <w:jc w:val="center"/>
              <w:rPr>
                <w:rFonts w:hint="default" w:ascii="仿宋_GB2312" w:hAnsi="仿宋_GB2312" w:eastAsia="仿宋_GB2312" w:cs="仿宋_GB2312"/>
                <w:snapToGrid w:val="0"/>
                <w:color w:val="000000"/>
                <w:sz w:val="18"/>
                <w:szCs w:val="18"/>
                <w:lang w:val="en-US" w:eastAsia="zh-CN" w:bidi="ar-SA"/>
              </w:rPr>
            </w:pPr>
            <w:r>
              <w:rPr>
                <w:rFonts w:hint="eastAsia" w:ascii="仿宋_GB2312" w:hAnsi="仿宋_GB2312" w:eastAsia="仿宋_GB2312" w:cs="仿宋_GB2312"/>
                <w:sz w:val="18"/>
                <w:szCs w:val="18"/>
                <w:lang w:val="en-US" w:eastAsia="zh-CN"/>
              </w:rPr>
              <w:t>14</w:t>
            </w:r>
          </w:p>
        </w:tc>
        <w:tc>
          <w:tcPr>
            <w:tcW w:w="698" w:type="pct"/>
            <w:shd w:val="clear" w:color="auto" w:fill="auto"/>
            <w:vAlign w:val="center"/>
          </w:tcPr>
          <w:p w14:paraId="15B526D0">
            <w:pPr>
              <w:pStyle w:val="11"/>
              <w:rPr>
                <w:rFonts w:hint="eastAsia" w:ascii="仿宋_GB2312" w:hAnsi="仿宋_GB2312" w:eastAsia="仿宋_GB2312" w:cs="仿宋_GB2312"/>
                <w:snapToGrid w:val="0"/>
                <w:color w:val="000000"/>
                <w:sz w:val="18"/>
                <w:szCs w:val="18"/>
                <w:lang w:val="en-US" w:eastAsia="zh-CN" w:bidi="ar-SA"/>
              </w:rPr>
            </w:pPr>
            <w:r>
              <w:rPr>
                <w:rFonts w:hint="eastAsia" w:ascii="仿宋_GB2312" w:hAnsi="仿宋_GB2312" w:eastAsia="仿宋_GB2312" w:cs="仿宋_GB2312"/>
                <w:sz w:val="18"/>
                <w:szCs w:val="18"/>
                <w:lang w:eastAsia="zh-CN"/>
              </w:rPr>
              <w:t>争议金额指的是仲裁案件中存在争议的标的金额，通过考察仲裁业务的争议金额，反映经济效益的</w:t>
            </w:r>
            <w:bookmarkStart w:id="0" w:name="_GoBack"/>
            <w:bookmarkEnd w:id="0"/>
            <w:r>
              <w:rPr>
                <w:rFonts w:hint="eastAsia" w:ascii="仿宋_GB2312" w:hAnsi="仿宋_GB2312" w:eastAsia="仿宋_GB2312" w:cs="仿宋_GB2312"/>
                <w:sz w:val="18"/>
                <w:szCs w:val="18"/>
                <w:lang w:eastAsia="zh-CN"/>
              </w:rPr>
              <w:t>实现程度。</w:t>
            </w:r>
          </w:p>
        </w:tc>
        <w:tc>
          <w:tcPr>
            <w:tcW w:w="1608" w:type="pct"/>
            <w:shd w:val="clear" w:color="auto" w:fill="auto"/>
            <w:vAlign w:val="center"/>
          </w:tcPr>
          <w:p w14:paraId="27F56D8D">
            <w:pPr>
              <w:pStyle w:val="11"/>
              <w:rPr>
                <w:rFonts w:hint="eastAsia" w:ascii="仿宋_GB2312" w:hAnsi="仿宋_GB2312" w:eastAsia="仿宋_GB2312" w:cs="仿宋_GB2312"/>
                <w:sz w:val="18"/>
                <w:szCs w:val="18"/>
                <w:lang w:eastAsia="zh-CN"/>
              </w:rPr>
            </w:pPr>
            <w:r>
              <w:rPr>
                <w:rFonts w:hint="eastAsia" w:ascii="仿宋_GB2312" w:hAnsi="仿宋_GB2312" w:eastAsia="仿宋_GB2312" w:cs="仿宋_GB2312"/>
                <w:sz w:val="18"/>
                <w:szCs w:val="18"/>
                <w:lang w:eastAsia="zh-CN"/>
              </w:rPr>
              <w:t>评价要点：</w:t>
            </w:r>
          </w:p>
          <w:p w14:paraId="5D873741">
            <w:pPr>
              <w:pStyle w:val="11"/>
              <w:rPr>
                <w:rFonts w:hint="eastAsia" w:ascii="仿宋_GB2312" w:hAnsi="仿宋_GB2312" w:eastAsia="仿宋_GB2312" w:cs="仿宋_GB2312"/>
                <w:sz w:val="18"/>
                <w:szCs w:val="18"/>
                <w:lang w:eastAsia="zh-CN"/>
              </w:rPr>
            </w:pPr>
            <w:r>
              <w:rPr>
                <w:rFonts w:hint="eastAsia" w:ascii="仿宋_GB2312" w:hAnsi="仿宋_GB2312" w:eastAsia="仿宋_GB2312" w:cs="仿宋_GB2312"/>
                <w:sz w:val="18"/>
                <w:szCs w:val="18"/>
                <w:lang w:val="en-US" w:eastAsia="zh-CN"/>
              </w:rPr>
              <w:t>1.年度受理案件</w:t>
            </w:r>
            <w:r>
              <w:rPr>
                <w:rFonts w:hint="eastAsia" w:ascii="仿宋_GB2312" w:hAnsi="仿宋_GB2312" w:eastAsia="仿宋_GB2312" w:cs="仿宋_GB2312"/>
                <w:sz w:val="18"/>
                <w:szCs w:val="18"/>
                <w:lang w:eastAsia="zh-CN"/>
              </w:rPr>
              <w:t>争议金额数。</w:t>
            </w:r>
          </w:p>
          <w:p w14:paraId="08B6735F">
            <w:pPr>
              <w:pStyle w:val="11"/>
              <w:rPr>
                <w:rFonts w:hint="eastAsia" w:ascii="仿宋_GB2312" w:hAnsi="仿宋_GB2312" w:eastAsia="仿宋_GB2312" w:cs="仿宋_GB2312"/>
                <w:snapToGrid w:val="0"/>
                <w:color w:val="000000"/>
                <w:sz w:val="18"/>
                <w:szCs w:val="18"/>
                <w:lang w:val="en-US" w:eastAsia="zh-CN" w:bidi="ar-SA"/>
              </w:rPr>
            </w:pPr>
            <w:r>
              <w:rPr>
                <w:rFonts w:hint="eastAsia" w:ascii="仿宋_GB2312" w:hAnsi="仿宋_GB2312" w:eastAsia="仿宋_GB2312" w:cs="仿宋_GB2312"/>
                <w:sz w:val="18"/>
                <w:szCs w:val="18"/>
                <w:lang w:eastAsia="zh-CN"/>
              </w:rPr>
              <w:t>评分规则：实际完成值达到标准值得满分，否则不得分。未达到标准值的每减少1%扣1%权重分。</w:t>
            </w:r>
          </w:p>
        </w:tc>
        <w:tc>
          <w:tcPr>
            <w:tcW w:w="1240" w:type="pct"/>
            <w:shd w:val="clear" w:color="auto" w:fill="auto"/>
            <w:vAlign w:val="center"/>
          </w:tcPr>
          <w:p w14:paraId="1B5C5F08">
            <w:pPr>
              <w:pStyle w:val="11"/>
              <w:rPr>
                <w:rFonts w:hint="eastAsia" w:ascii="仿宋_GB2312" w:hAnsi="仿宋_GB2312" w:eastAsia="仿宋_GB2312" w:cs="仿宋_GB2312"/>
                <w:snapToGrid w:val="0"/>
                <w:color w:val="000000"/>
                <w:sz w:val="18"/>
                <w:szCs w:val="18"/>
                <w:lang w:val="en-US" w:eastAsia="zh-CN" w:bidi="ar-SA"/>
              </w:rPr>
            </w:pPr>
            <w:r>
              <w:rPr>
                <w:rFonts w:hint="eastAsia" w:ascii="仿宋_GB2312" w:hAnsi="仿宋_GB2312" w:eastAsia="仿宋_GB2312" w:cs="仿宋_GB2312"/>
                <w:sz w:val="18"/>
                <w:szCs w:val="18"/>
                <w:lang w:eastAsia="zh-CN"/>
              </w:rPr>
              <w:t>根据业务系统截图，争议金额=</w:t>
            </w:r>
            <w:r>
              <w:rPr>
                <w:rFonts w:hint="eastAsia" w:ascii="仿宋_GB2312" w:hAnsi="仿宋_GB2312" w:eastAsia="仿宋_GB2312" w:cs="仿宋_GB2312"/>
                <w:sz w:val="18"/>
                <w:szCs w:val="18"/>
                <w:lang w:val="en-US" w:eastAsia="zh-CN"/>
              </w:rPr>
              <w:t>103.55</w:t>
            </w:r>
            <w:r>
              <w:rPr>
                <w:rFonts w:hint="eastAsia" w:ascii="仿宋_GB2312" w:hAnsi="仿宋_GB2312" w:eastAsia="仿宋_GB2312" w:cs="仿宋_GB2312"/>
                <w:sz w:val="18"/>
                <w:szCs w:val="18"/>
                <w:lang w:eastAsia="zh-CN"/>
              </w:rPr>
              <w:t>亿元，不扣分。</w:t>
            </w:r>
          </w:p>
        </w:tc>
        <w:tc>
          <w:tcPr>
            <w:tcW w:w="233" w:type="pct"/>
            <w:shd w:val="clear" w:color="auto" w:fill="auto"/>
            <w:vAlign w:val="center"/>
          </w:tcPr>
          <w:p w14:paraId="6D70CA90">
            <w:pPr>
              <w:pStyle w:val="11"/>
              <w:jc w:val="center"/>
              <w:rPr>
                <w:rFonts w:hint="default" w:ascii="仿宋_GB2312" w:hAnsi="仿宋_GB2312" w:eastAsia="仿宋_GB2312" w:cs="仿宋_GB2312"/>
                <w:snapToGrid w:val="0"/>
                <w:color w:val="000000"/>
                <w:sz w:val="18"/>
                <w:szCs w:val="18"/>
                <w:highlight w:val="none"/>
                <w:lang w:val="en-US" w:eastAsia="zh-CN" w:bidi="ar-SA"/>
              </w:rPr>
            </w:pPr>
            <w:r>
              <w:rPr>
                <w:rFonts w:hint="eastAsia" w:ascii="仿宋_GB2312" w:hAnsi="仿宋_GB2312" w:eastAsia="仿宋_GB2312" w:cs="仿宋_GB2312"/>
                <w:sz w:val="18"/>
                <w:szCs w:val="18"/>
                <w:highlight w:val="none"/>
                <w:lang w:val="en-US" w:eastAsia="zh-CN"/>
              </w:rPr>
              <w:t>14</w:t>
            </w:r>
          </w:p>
        </w:tc>
      </w:tr>
      <w:tr w14:paraId="5D1CF0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90" w:hRule="atLeast"/>
          <w:jc w:val="center"/>
        </w:trPr>
        <w:tc>
          <w:tcPr>
            <w:tcW w:w="254" w:type="pct"/>
            <w:vMerge w:val="continue"/>
            <w:tcBorders>
              <w:right w:val="single" w:color="auto" w:sz="4" w:space="0"/>
            </w:tcBorders>
            <w:vAlign w:val="center"/>
          </w:tcPr>
          <w:p w14:paraId="717B763E">
            <w:pPr>
              <w:pStyle w:val="11"/>
              <w:jc w:val="center"/>
              <w:rPr>
                <w:rFonts w:hint="eastAsia" w:ascii="仿宋_GB2312" w:hAnsi="仿宋_GB2312" w:eastAsia="仿宋_GB2312" w:cs="仿宋_GB2312"/>
                <w:sz w:val="18"/>
                <w:szCs w:val="18"/>
                <w:highlight w:val="none"/>
              </w:rPr>
            </w:pPr>
          </w:p>
        </w:tc>
        <w:tc>
          <w:tcPr>
            <w:tcW w:w="297" w:type="pct"/>
            <w:tcBorders>
              <w:left w:val="single" w:color="auto" w:sz="4" w:space="0"/>
              <w:right w:val="single" w:color="auto" w:sz="4" w:space="0"/>
            </w:tcBorders>
            <w:vAlign w:val="center"/>
          </w:tcPr>
          <w:p w14:paraId="2277519A">
            <w:pPr>
              <w:pStyle w:val="11"/>
              <w:jc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D2</w:t>
            </w:r>
          </w:p>
          <w:p w14:paraId="6FC26CC3">
            <w:pPr>
              <w:pStyle w:val="11"/>
              <w:jc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社会效益</w:t>
            </w:r>
          </w:p>
          <w:p w14:paraId="4B05E318">
            <w:pPr>
              <w:pStyle w:val="11"/>
              <w:jc w:val="center"/>
              <w:rPr>
                <w:rFonts w:hint="eastAsia" w:ascii="仿宋_GB2312" w:hAnsi="仿宋_GB2312" w:eastAsia="仿宋_GB2312" w:cs="仿宋_GB2312"/>
                <w:sz w:val="18"/>
                <w:szCs w:val="18"/>
                <w:highlight w:val="none"/>
              </w:rPr>
            </w:pPr>
            <w:r>
              <w:rPr>
                <w:rFonts w:hint="eastAsia" w:ascii="仿宋_GB2312" w:hAnsi="仿宋_GB2312" w:eastAsia="仿宋_GB2312" w:cs="仿宋_GB2312"/>
                <w:sz w:val="18"/>
                <w:szCs w:val="18"/>
              </w:rPr>
              <w:t>(1</w:t>
            </w:r>
            <w:r>
              <w:rPr>
                <w:rFonts w:hint="eastAsia" w:ascii="仿宋_GB2312" w:hAnsi="仿宋_GB2312" w:eastAsia="仿宋_GB2312" w:cs="仿宋_GB2312"/>
                <w:sz w:val="18"/>
                <w:szCs w:val="18"/>
                <w:lang w:val="en-US" w:eastAsia="zh-CN"/>
              </w:rPr>
              <w:t>4</w:t>
            </w:r>
            <w:r>
              <w:rPr>
                <w:rFonts w:hint="eastAsia" w:ascii="仿宋_GB2312" w:hAnsi="仿宋_GB2312" w:eastAsia="仿宋_GB2312" w:cs="仿宋_GB2312"/>
                <w:sz w:val="18"/>
                <w:szCs w:val="18"/>
              </w:rPr>
              <w:t>)</w:t>
            </w:r>
          </w:p>
        </w:tc>
        <w:tc>
          <w:tcPr>
            <w:tcW w:w="284" w:type="pct"/>
            <w:tcBorders>
              <w:left w:val="single" w:color="auto" w:sz="4" w:space="0"/>
            </w:tcBorders>
            <w:shd w:val="clear" w:color="auto" w:fill="auto"/>
            <w:vAlign w:val="center"/>
          </w:tcPr>
          <w:p w14:paraId="006D77DF">
            <w:pPr>
              <w:pStyle w:val="11"/>
              <w:jc w:val="center"/>
              <w:rPr>
                <w:rFonts w:hint="eastAsia" w:ascii="仿宋_GB2312" w:hAnsi="仿宋_GB2312" w:eastAsia="仿宋_GB2312" w:cs="仿宋_GB2312"/>
                <w:sz w:val="18"/>
                <w:szCs w:val="18"/>
                <w:lang w:eastAsia="zh-CN"/>
              </w:rPr>
            </w:pPr>
            <w:r>
              <w:rPr>
                <w:rFonts w:hint="eastAsia" w:ascii="仿宋_GB2312" w:hAnsi="仿宋_GB2312" w:eastAsia="仿宋_GB2312" w:cs="仿宋_GB2312"/>
                <w:sz w:val="18"/>
                <w:szCs w:val="18"/>
                <w:lang w:eastAsia="zh-CN"/>
              </w:rPr>
              <w:t>D2</w:t>
            </w:r>
            <w:r>
              <w:rPr>
                <w:rFonts w:hint="eastAsia" w:ascii="仿宋_GB2312" w:hAnsi="仿宋_GB2312" w:eastAsia="仿宋_GB2312" w:cs="仿宋_GB2312"/>
                <w:sz w:val="18"/>
                <w:szCs w:val="18"/>
                <w:lang w:val="en-US" w:eastAsia="zh-CN"/>
              </w:rPr>
              <w:t>1</w:t>
            </w:r>
          </w:p>
          <w:p w14:paraId="4593BE66">
            <w:pPr>
              <w:pStyle w:val="11"/>
              <w:jc w:val="center"/>
              <w:rPr>
                <w:rFonts w:hint="eastAsia" w:ascii="仿宋_GB2312" w:hAnsi="仿宋_GB2312" w:eastAsia="仿宋_GB2312" w:cs="仿宋_GB2312"/>
                <w:snapToGrid w:val="0"/>
                <w:color w:val="000000"/>
                <w:sz w:val="18"/>
                <w:szCs w:val="18"/>
                <w:lang w:val="en-US" w:eastAsia="zh-CN" w:bidi="ar-SA"/>
              </w:rPr>
            </w:pPr>
            <w:r>
              <w:rPr>
                <w:rFonts w:hint="eastAsia" w:ascii="仿宋_GB2312" w:hAnsi="仿宋_GB2312" w:eastAsia="仿宋_GB2312" w:cs="仿宋_GB2312"/>
                <w:sz w:val="18"/>
                <w:szCs w:val="18"/>
                <w:highlight w:val="none"/>
                <w:lang w:eastAsia="zh-CN"/>
              </w:rPr>
              <w:t>线下仲裁案件</w:t>
            </w:r>
            <w:r>
              <w:rPr>
                <w:rFonts w:hint="eastAsia" w:ascii="仿宋_GB2312" w:hAnsi="仿宋_GB2312" w:eastAsia="仿宋_GB2312" w:cs="仿宋_GB2312"/>
                <w:sz w:val="18"/>
                <w:szCs w:val="18"/>
                <w:highlight w:val="none"/>
              </w:rPr>
              <w:t>结案率</w:t>
            </w:r>
          </w:p>
        </w:tc>
        <w:tc>
          <w:tcPr>
            <w:tcW w:w="231" w:type="pct"/>
            <w:shd w:val="clear" w:color="auto" w:fill="auto"/>
            <w:vAlign w:val="center"/>
          </w:tcPr>
          <w:p w14:paraId="6B008F39">
            <w:pPr>
              <w:pStyle w:val="11"/>
              <w:jc w:val="center"/>
              <w:rPr>
                <w:rFonts w:hint="eastAsia" w:ascii="仿宋_GB2312" w:hAnsi="仿宋_GB2312" w:eastAsia="仿宋_GB2312" w:cs="仿宋_GB2312"/>
                <w:snapToGrid w:val="0"/>
                <w:color w:val="000000"/>
                <w:sz w:val="18"/>
                <w:szCs w:val="18"/>
                <w:lang w:val="en-US" w:eastAsia="en-US" w:bidi="ar-SA"/>
              </w:rPr>
            </w:pPr>
            <w:r>
              <w:rPr>
                <w:rFonts w:hint="eastAsia" w:ascii="仿宋_GB2312" w:hAnsi="仿宋_GB2312" w:eastAsia="仿宋_GB2312" w:cs="仿宋_GB2312"/>
                <w:sz w:val="18"/>
                <w:szCs w:val="18"/>
                <w:highlight w:val="none"/>
              </w:rPr>
              <w:t>≥80%</w:t>
            </w:r>
          </w:p>
        </w:tc>
        <w:tc>
          <w:tcPr>
            <w:tcW w:w="151" w:type="pct"/>
            <w:shd w:val="clear" w:color="auto" w:fill="auto"/>
            <w:vAlign w:val="center"/>
          </w:tcPr>
          <w:p w14:paraId="413DBA91">
            <w:pPr>
              <w:pStyle w:val="11"/>
              <w:jc w:val="center"/>
              <w:rPr>
                <w:rFonts w:hint="default" w:ascii="仿宋_GB2312" w:hAnsi="仿宋_GB2312" w:eastAsia="仿宋_GB2312" w:cs="仿宋_GB2312"/>
                <w:snapToGrid w:val="0"/>
                <w:color w:val="000000"/>
                <w:sz w:val="18"/>
                <w:szCs w:val="18"/>
                <w:lang w:val="en-US" w:eastAsia="en-US" w:bidi="ar-SA"/>
              </w:rPr>
            </w:pPr>
            <w:r>
              <w:rPr>
                <w:rFonts w:hint="eastAsia" w:ascii="仿宋_GB2312" w:hAnsi="仿宋_GB2312" w:eastAsia="仿宋_GB2312" w:cs="仿宋_GB2312"/>
                <w:sz w:val="18"/>
                <w:szCs w:val="18"/>
                <w:highlight w:val="none"/>
                <w:lang w:val="en-US" w:eastAsia="zh-CN"/>
              </w:rPr>
              <w:t>14</w:t>
            </w:r>
          </w:p>
        </w:tc>
        <w:tc>
          <w:tcPr>
            <w:tcW w:w="698" w:type="pct"/>
            <w:shd w:val="clear" w:color="auto" w:fill="auto"/>
            <w:vAlign w:val="center"/>
          </w:tcPr>
          <w:p w14:paraId="0BDBADB0">
            <w:pPr>
              <w:pStyle w:val="11"/>
              <w:rPr>
                <w:rFonts w:hint="eastAsia" w:ascii="仿宋_GB2312" w:hAnsi="仿宋_GB2312" w:eastAsia="仿宋_GB2312" w:cs="仿宋_GB2312"/>
                <w:snapToGrid w:val="0"/>
                <w:color w:val="000000"/>
                <w:sz w:val="18"/>
                <w:szCs w:val="18"/>
                <w:lang w:val="en-US" w:eastAsia="zh-CN" w:bidi="ar-SA"/>
              </w:rPr>
            </w:pPr>
            <w:r>
              <w:rPr>
                <w:rFonts w:hint="eastAsia" w:ascii="仿宋_GB2312" w:hAnsi="仿宋_GB2312" w:eastAsia="仿宋_GB2312" w:cs="仿宋_GB2312"/>
                <w:sz w:val="18"/>
                <w:szCs w:val="18"/>
                <w:highlight w:val="none"/>
                <w:lang w:eastAsia="zh-CN"/>
              </w:rPr>
              <w:t>考察仲栽案件结案数量情况，反映社会效益的实现程度。</w:t>
            </w:r>
          </w:p>
        </w:tc>
        <w:tc>
          <w:tcPr>
            <w:tcW w:w="1608" w:type="pct"/>
            <w:shd w:val="clear" w:color="auto" w:fill="auto"/>
            <w:vAlign w:val="center"/>
          </w:tcPr>
          <w:p w14:paraId="6A720CA8">
            <w:pPr>
              <w:pStyle w:val="11"/>
              <w:rPr>
                <w:rFonts w:hint="eastAsia" w:ascii="仿宋_GB2312" w:hAnsi="仿宋_GB2312" w:eastAsia="仿宋_GB2312" w:cs="仿宋_GB2312"/>
                <w:sz w:val="18"/>
                <w:szCs w:val="18"/>
                <w:highlight w:val="none"/>
                <w:lang w:eastAsia="zh-CN"/>
              </w:rPr>
            </w:pPr>
            <w:r>
              <w:rPr>
                <w:rFonts w:hint="eastAsia" w:ascii="仿宋_GB2312" w:hAnsi="仿宋_GB2312" w:eastAsia="仿宋_GB2312" w:cs="仿宋_GB2312"/>
                <w:sz w:val="18"/>
                <w:szCs w:val="18"/>
                <w:highlight w:val="none"/>
                <w:lang w:eastAsia="zh-CN"/>
              </w:rPr>
              <w:t>结案率=结案案件数/受理案件数*100%。</w:t>
            </w:r>
          </w:p>
          <w:p w14:paraId="3D471336">
            <w:pPr>
              <w:pStyle w:val="11"/>
              <w:rPr>
                <w:rFonts w:hint="eastAsia" w:ascii="仿宋_GB2312" w:hAnsi="仿宋_GB2312" w:eastAsia="仿宋_GB2312" w:cs="仿宋_GB2312"/>
                <w:snapToGrid w:val="0"/>
                <w:color w:val="000000"/>
                <w:sz w:val="18"/>
                <w:szCs w:val="18"/>
                <w:lang w:val="en-US" w:eastAsia="zh-CN" w:bidi="ar-SA"/>
              </w:rPr>
            </w:pPr>
            <w:r>
              <w:rPr>
                <w:rFonts w:hint="eastAsia" w:ascii="仿宋_GB2312" w:hAnsi="仿宋_GB2312" w:eastAsia="仿宋_GB2312" w:cs="仿宋_GB2312"/>
                <w:sz w:val="18"/>
                <w:szCs w:val="18"/>
                <w:highlight w:val="none"/>
                <w:lang w:eastAsia="zh-CN"/>
              </w:rPr>
              <w:t>评分规则：实际完成值达到标准值得满分，未达到标准值的每减少1%扣1%权重分。</w:t>
            </w:r>
          </w:p>
        </w:tc>
        <w:tc>
          <w:tcPr>
            <w:tcW w:w="1240" w:type="pct"/>
            <w:shd w:val="clear" w:color="auto" w:fill="auto"/>
            <w:vAlign w:val="center"/>
          </w:tcPr>
          <w:p w14:paraId="5D18848A">
            <w:pPr>
              <w:pStyle w:val="11"/>
              <w:rPr>
                <w:rFonts w:hint="eastAsia" w:ascii="仿宋_GB2312" w:hAnsi="仿宋_GB2312" w:eastAsia="仿宋_GB2312" w:cs="仿宋_GB2312"/>
                <w:snapToGrid w:val="0"/>
                <w:color w:val="000000"/>
                <w:sz w:val="18"/>
                <w:szCs w:val="18"/>
                <w:lang w:val="en-US" w:eastAsia="zh-CN" w:bidi="ar-SA"/>
              </w:rPr>
            </w:pPr>
            <w:r>
              <w:rPr>
                <w:rFonts w:hint="eastAsia" w:ascii="仿宋_GB2312" w:hAnsi="仿宋_GB2312" w:eastAsia="仿宋_GB2312" w:cs="仿宋_GB2312"/>
                <w:sz w:val="18"/>
                <w:szCs w:val="18"/>
                <w:highlight w:val="none"/>
                <w:lang w:eastAsia="zh-CN"/>
              </w:rPr>
              <w:t>根据仲裁业务系统截图，202</w:t>
            </w:r>
            <w:r>
              <w:rPr>
                <w:rFonts w:hint="eastAsia" w:ascii="仿宋_GB2312" w:hAnsi="仿宋_GB2312" w:eastAsia="仿宋_GB2312" w:cs="仿宋_GB2312"/>
                <w:sz w:val="18"/>
                <w:szCs w:val="18"/>
                <w:highlight w:val="none"/>
                <w:lang w:val="en-US" w:eastAsia="zh-CN"/>
              </w:rPr>
              <w:t>5</w:t>
            </w:r>
            <w:r>
              <w:rPr>
                <w:rFonts w:hint="eastAsia" w:ascii="仿宋_GB2312" w:hAnsi="仿宋_GB2312" w:eastAsia="仿宋_GB2312" w:cs="仿宋_GB2312"/>
                <w:sz w:val="18"/>
                <w:szCs w:val="18"/>
                <w:highlight w:val="none"/>
                <w:lang w:eastAsia="zh-CN"/>
              </w:rPr>
              <w:t>年度结案案件</w:t>
            </w:r>
            <w:r>
              <w:rPr>
                <w:rFonts w:hint="eastAsia" w:ascii="仿宋_GB2312" w:hAnsi="仿宋_GB2312" w:eastAsia="仿宋_GB2312" w:cs="仿宋_GB2312"/>
                <w:sz w:val="18"/>
                <w:szCs w:val="18"/>
                <w:highlight w:val="none"/>
                <w:lang w:val="en-US" w:eastAsia="zh-CN"/>
              </w:rPr>
              <w:t>2098</w:t>
            </w:r>
            <w:r>
              <w:rPr>
                <w:rFonts w:hint="eastAsia" w:ascii="仿宋_GB2312" w:hAnsi="仿宋_GB2312" w:eastAsia="仿宋_GB2312" w:cs="仿宋_GB2312"/>
                <w:sz w:val="18"/>
                <w:szCs w:val="18"/>
                <w:highlight w:val="none"/>
                <w:lang w:eastAsia="zh-CN"/>
              </w:rPr>
              <w:t>件，结案率=结案案件数</w:t>
            </w:r>
            <w:r>
              <w:rPr>
                <w:rFonts w:hint="eastAsia" w:ascii="仿宋_GB2312" w:hAnsi="仿宋_GB2312" w:eastAsia="仿宋_GB2312" w:cs="仿宋_GB2312"/>
                <w:sz w:val="18"/>
                <w:szCs w:val="18"/>
                <w:highlight w:val="none"/>
                <w:lang w:val="en-US" w:eastAsia="zh-CN"/>
              </w:rPr>
              <w:t>2098</w:t>
            </w:r>
            <w:r>
              <w:rPr>
                <w:rFonts w:hint="eastAsia" w:ascii="仿宋_GB2312" w:hAnsi="仿宋_GB2312" w:eastAsia="仿宋_GB2312" w:cs="仿宋_GB2312"/>
                <w:sz w:val="18"/>
                <w:szCs w:val="18"/>
                <w:highlight w:val="none"/>
                <w:lang w:eastAsia="zh-CN"/>
              </w:rPr>
              <w:t>件/受理案件数</w:t>
            </w:r>
            <w:r>
              <w:rPr>
                <w:rFonts w:hint="eastAsia" w:ascii="仿宋_GB2312" w:hAnsi="仿宋_GB2312" w:eastAsia="仿宋_GB2312" w:cs="仿宋_GB2312"/>
                <w:sz w:val="18"/>
                <w:szCs w:val="18"/>
                <w:highlight w:val="none"/>
                <w:lang w:val="en-US" w:eastAsia="zh-CN"/>
              </w:rPr>
              <w:t>2496</w:t>
            </w:r>
            <w:r>
              <w:rPr>
                <w:rFonts w:hint="eastAsia" w:ascii="仿宋_GB2312" w:hAnsi="仿宋_GB2312" w:eastAsia="仿宋_GB2312" w:cs="仿宋_GB2312"/>
                <w:sz w:val="18"/>
                <w:szCs w:val="18"/>
                <w:highlight w:val="none"/>
                <w:lang w:eastAsia="zh-CN"/>
              </w:rPr>
              <w:t>件100%=</w:t>
            </w:r>
            <w:r>
              <w:rPr>
                <w:rFonts w:hint="eastAsia" w:ascii="仿宋_GB2312" w:hAnsi="仿宋_GB2312" w:eastAsia="仿宋_GB2312" w:cs="仿宋_GB2312"/>
                <w:sz w:val="18"/>
                <w:szCs w:val="18"/>
                <w:highlight w:val="none"/>
                <w:lang w:val="en-US" w:eastAsia="zh-CN"/>
              </w:rPr>
              <w:t>84.05</w:t>
            </w:r>
            <w:r>
              <w:rPr>
                <w:rFonts w:hint="eastAsia" w:ascii="仿宋_GB2312" w:hAnsi="仿宋_GB2312" w:eastAsia="仿宋_GB2312" w:cs="仿宋_GB2312"/>
                <w:sz w:val="18"/>
                <w:szCs w:val="18"/>
                <w:highlight w:val="none"/>
                <w:lang w:eastAsia="zh-CN"/>
              </w:rPr>
              <w:t>%,达成。</w:t>
            </w:r>
          </w:p>
        </w:tc>
        <w:tc>
          <w:tcPr>
            <w:tcW w:w="233" w:type="pct"/>
            <w:shd w:val="clear" w:color="auto" w:fill="auto"/>
            <w:vAlign w:val="center"/>
          </w:tcPr>
          <w:p w14:paraId="6CAF169E">
            <w:pPr>
              <w:pStyle w:val="11"/>
              <w:jc w:val="center"/>
              <w:rPr>
                <w:rFonts w:hint="default" w:ascii="仿宋_GB2312" w:hAnsi="仿宋_GB2312" w:eastAsia="仿宋_GB2312" w:cs="仿宋_GB2312"/>
                <w:snapToGrid w:val="0"/>
                <w:color w:val="000000"/>
                <w:sz w:val="18"/>
                <w:szCs w:val="18"/>
                <w:lang w:val="en-US" w:eastAsia="zh-CN" w:bidi="ar-SA"/>
              </w:rPr>
            </w:pPr>
            <w:r>
              <w:rPr>
                <w:rFonts w:hint="eastAsia" w:ascii="仿宋_GB2312" w:hAnsi="仿宋_GB2312" w:eastAsia="仿宋_GB2312" w:cs="仿宋_GB2312"/>
                <w:sz w:val="18"/>
                <w:szCs w:val="18"/>
                <w:lang w:val="en-US" w:eastAsia="zh-CN"/>
              </w:rPr>
              <w:t>14</w:t>
            </w:r>
          </w:p>
        </w:tc>
      </w:tr>
      <w:tr w14:paraId="2777B4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0" w:hRule="atLeast"/>
          <w:jc w:val="center"/>
        </w:trPr>
        <w:tc>
          <w:tcPr>
            <w:tcW w:w="254" w:type="pct"/>
            <w:tcBorders>
              <w:right w:val="single" w:color="auto" w:sz="4" w:space="0"/>
            </w:tcBorders>
            <w:vAlign w:val="center"/>
          </w:tcPr>
          <w:p w14:paraId="4A1D9A97">
            <w:pPr>
              <w:pStyle w:val="11"/>
              <w:jc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E满意</w:t>
            </w:r>
          </w:p>
          <w:p w14:paraId="490D7252">
            <w:pPr>
              <w:pStyle w:val="11"/>
              <w:jc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度</w:t>
            </w:r>
          </w:p>
          <w:p w14:paraId="137E6F58">
            <w:pPr>
              <w:pStyle w:val="11"/>
              <w:jc w:val="center"/>
              <w:rPr>
                <w:rFonts w:hint="eastAsia" w:ascii="仿宋_GB2312" w:hAnsi="仿宋_GB2312" w:eastAsia="仿宋_GB2312" w:cs="仿宋_GB2312"/>
                <w:sz w:val="18"/>
                <w:szCs w:val="18"/>
                <w:highlight w:val="none"/>
              </w:rPr>
            </w:pPr>
            <w:r>
              <w:rPr>
                <w:rFonts w:hint="eastAsia" w:ascii="仿宋_GB2312" w:hAnsi="仿宋_GB2312" w:eastAsia="仿宋_GB2312" w:cs="仿宋_GB2312"/>
                <w:sz w:val="18"/>
                <w:szCs w:val="18"/>
              </w:rPr>
              <w:t>(10)</w:t>
            </w:r>
          </w:p>
        </w:tc>
        <w:tc>
          <w:tcPr>
            <w:tcW w:w="297" w:type="pct"/>
            <w:tcBorders>
              <w:left w:val="single" w:color="auto" w:sz="4" w:space="0"/>
              <w:right w:val="single" w:color="auto" w:sz="4" w:space="0"/>
            </w:tcBorders>
            <w:vAlign w:val="center"/>
          </w:tcPr>
          <w:p w14:paraId="794D5502">
            <w:pPr>
              <w:pStyle w:val="11"/>
              <w:jc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E1</w:t>
            </w:r>
          </w:p>
          <w:p w14:paraId="6491B395">
            <w:pPr>
              <w:pStyle w:val="11"/>
              <w:jc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服务对象满意度</w:t>
            </w:r>
          </w:p>
          <w:p w14:paraId="69FF7B80">
            <w:pPr>
              <w:pStyle w:val="11"/>
              <w:jc w:val="center"/>
              <w:rPr>
                <w:rFonts w:hint="eastAsia" w:ascii="仿宋_GB2312" w:hAnsi="仿宋_GB2312" w:eastAsia="仿宋_GB2312" w:cs="仿宋_GB2312"/>
                <w:sz w:val="18"/>
                <w:szCs w:val="18"/>
                <w:highlight w:val="none"/>
              </w:rPr>
            </w:pPr>
            <w:r>
              <w:rPr>
                <w:rFonts w:hint="eastAsia" w:ascii="仿宋_GB2312" w:hAnsi="仿宋_GB2312" w:eastAsia="仿宋_GB2312" w:cs="仿宋_GB2312"/>
                <w:sz w:val="18"/>
                <w:szCs w:val="18"/>
              </w:rPr>
              <w:t>(10)</w:t>
            </w:r>
          </w:p>
        </w:tc>
        <w:tc>
          <w:tcPr>
            <w:tcW w:w="284" w:type="pct"/>
            <w:tcBorders>
              <w:left w:val="single" w:color="auto" w:sz="4" w:space="0"/>
            </w:tcBorders>
            <w:shd w:val="clear" w:color="auto" w:fill="auto"/>
            <w:vAlign w:val="center"/>
          </w:tcPr>
          <w:p w14:paraId="337BF087">
            <w:pPr>
              <w:pStyle w:val="11"/>
              <w:jc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E12</w:t>
            </w:r>
          </w:p>
          <w:p w14:paraId="0AE76A44">
            <w:pPr>
              <w:pStyle w:val="11"/>
              <w:jc w:val="center"/>
              <w:rPr>
                <w:rFonts w:hint="eastAsia" w:ascii="仿宋_GB2312" w:hAnsi="仿宋_GB2312" w:eastAsia="仿宋_GB2312" w:cs="仿宋_GB2312"/>
                <w:snapToGrid w:val="0"/>
                <w:color w:val="000000"/>
                <w:sz w:val="18"/>
                <w:szCs w:val="18"/>
                <w:lang w:val="en-US" w:eastAsia="zh-CN" w:bidi="ar-SA"/>
              </w:rPr>
            </w:pPr>
            <w:r>
              <w:rPr>
                <w:rFonts w:hint="eastAsia" w:ascii="仿宋_GB2312" w:hAnsi="仿宋_GB2312" w:eastAsia="仿宋_GB2312" w:cs="仿宋_GB2312"/>
                <w:sz w:val="18"/>
                <w:szCs w:val="18"/>
                <w:lang w:eastAsia="zh-CN"/>
              </w:rPr>
              <w:t>不满意率</w:t>
            </w:r>
          </w:p>
        </w:tc>
        <w:tc>
          <w:tcPr>
            <w:tcW w:w="231" w:type="pct"/>
            <w:shd w:val="clear" w:color="auto" w:fill="auto"/>
            <w:vAlign w:val="center"/>
          </w:tcPr>
          <w:p w14:paraId="50326753">
            <w:pPr>
              <w:pStyle w:val="11"/>
              <w:jc w:val="center"/>
              <w:rPr>
                <w:rFonts w:hint="eastAsia" w:ascii="仿宋_GB2312" w:hAnsi="仿宋_GB2312" w:eastAsia="仿宋_GB2312" w:cs="仿宋_GB2312"/>
                <w:snapToGrid w:val="0"/>
                <w:color w:val="000000"/>
                <w:sz w:val="18"/>
                <w:szCs w:val="18"/>
                <w:lang w:val="en-US" w:eastAsia="en-US" w:bidi="ar-SA"/>
              </w:rPr>
            </w:pPr>
            <w:r>
              <w:rPr>
                <w:rFonts w:hint="eastAsia" w:ascii="仿宋_GB2312" w:hAnsi="仿宋_GB2312" w:eastAsia="仿宋_GB2312" w:cs="仿宋_GB2312"/>
                <w:sz w:val="18"/>
                <w:szCs w:val="18"/>
              </w:rPr>
              <w:t>≤10%</w:t>
            </w:r>
          </w:p>
        </w:tc>
        <w:tc>
          <w:tcPr>
            <w:tcW w:w="151" w:type="pct"/>
            <w:shd w:val="clear" w:color="auto" w:fill="auto"/>
            <w:vAlign w:val="center"/>
          </w:tcPr>
          <w:p w14:paraId="7B1C09AE">
            <w:pPr>
              <w:pStyle w:val="11"/>
              <w:jc w:val="center"/>
              <w:rPr>
                <w:rFonts w:hint="default" w:ascii="仿宋_GB2312" w:hAnsi="仿宋_GB2312" w:eastAsia="仿宋_GB2312" w:cs="仿宋_GB2312"/>
                <w:snapToGrid w:val="0"/>
                <w:color w:val="000000"/>
                <w:sz w:val="18"/>
                <w:szCs w:val="18"/>
                <w:lang w:val="en-US" w:eastAsia="zh-CN" w:bidi="ar-SA"/>
              </w:rPr>
            </w:pPr>
            <w:r>
              <w:rPr>
                <w:rFonts w:hint="eastAsia" w:ascii="仿宋_GB2312" w:hAnsi="仿宋_GB2312" w:eastAsia="仿宋_GB2312" w:cs="仿宋_GB2312"/>
                <w:sz w:val="18"/>
                <w:szCs w:val="18"/>
                <w:lang w:val="en-US" w:eastAsia="zh-CN"/>
              </w:rPr>
              <w:t>10</w:t>
            </w:r>
          </w:p>
        </w:tc>
        <w:tc>
          <w:tcPr>
            <w:tcW w:w="698" w:type="pct"/>
            <w:shd w:val="clear" w:color="auto" w:fill="auto"/>
            <w:vAlign w:val="center"/>
          </w:tcPr>
          <w:p w14:paraId="38641E44">
            <w:pPr>
              <w:pStyle w:val="11"/>
              <w:rPr>
                <w:rFonts w:hint="eastAsia" w:ascii="仿宋_GB2312" w:hAnsi="仿宋_GB2312" w:eastAsia="仿宋_GB2312" w:cs="仿宋_GB2312"/>
                <w:snapToGrid w:val="0"/>
                <w:color w:val="000000"/>
                <w:sz w:val="18"/>
                <w:szCs w:val="18"/>
                <w:lang w:val="en-US" w:eastAsia="zh-CN" w:bidi="ar-SA"/>
              </w:rPr>
            </w:pPr>
            <w:r>
              <w:rPr>
                <w:rFonts w:hint="eastAsia" w:ascii="仿宋_GB2312" w:hAnsi="仿宋_GB2312" w:eastAsia="仿宋_GB2312" w:cs="仿宋_GB2312"/>
                <w:sz w:val="18"/>
                <w:szCs w:val="18"/>
                <w:lang w:eastAsia="zh-CN"/>
              </w:rPr>
              <w:t>考核服务对象对部门履职效果的满意程度。</w:t>
            </w:r>
          </w:p>
        </w:tc>
        <w:tc>
          <w:tcPr>
            <w:tcW w:w="1608" w:type="pct"/>
            <w:shd w:val="clear" w:color="auto" w:fill="auto"/>
            <w:vAlign w:val="center"/>
          </w:tcPr>
          <w:p w14:paraId="426BC8DF">
            <w:pPr>
              <w:pStyle w:val="11"/>
              <w:rPr>
                <w:rFonts w:hint="eastAsia" w:ascii="仿宋_GB2312" w:hAnsi="仿宋_GB2312" w:eastAsia="仿宋_GB2312" w:cs="仿宋_GB2312"/>
                <w:snapToGrid w:val="0"/>
                <w:color w:val="000000"/>
                <w:sz w:val="18"/>
                <w:szCs w:val="18"/>
                <w:lang w:val="en-US" w:eastAsia="zh-CN" w:bidi="ar-SA"/>
              </w:rPr>
            </w:pPr>
            <w:r>
              <w:rPr>
                <w:rFonts w:hint="eastAsia" w:ascii="仿宋_GB2312" w:hAnsi="仿宋_GB2312" w:eastAsia="仿宋_GB2312" w:cs="仿宋_GB2312"/>
                <w:sz w:val="18"/>
                <w:szCs w:val="18"/>
                <w:lang w:eastAsia="zh-CN"/>
              </w:rPr>
              <w:t>评分规则：按照考核得分计算分值，计算不满意率=（</w:t>
            </w:r>
            <w:r>
              <w:rPr>
                <w:rFonts w:hint="eastAsia" w:ascii="仿宋_GB2312" w:hAnsi="仿宋_GB2312" w:eastAsia="仿宋_GB2312" w:cs="仿宋_GB2312"/>
                <w:sz w:val="18"/>
                <w:szCs w:val="18"/>
                <w:lang w:val="en-US" w:eastAsia="zh-CN"/>
              </w:rPr>
              <w:t>10-考核得分</w:t>
            </w:r>
            <w:r>
              <w:rPr>
                <w:rFonts w:hint="eastAsia" w:ascii="仿宋_GB2312" w:hAnsi="仿宋_GB2312" w:eastAsia="仿宋_GB2312" w:cs="仿宋_GB2312"/>
                <w:sz w:val="18"/>
                <w:szCs w:val="18"/>
                <w:lang w:eastAsia="zh-CN"/>
              </w:rPr>
              <w:t>）</w:t>
            </w:r>
            <w:r>
              <w:rPr>
                <w:rFonts w:hint="eastAsia" w:ascii="仿宋_GB2312" w:hAnsi="仿宋_GB2312" w:eastAsia="仿宋_GB2312" w:cs="仿宋_GB2312"/>
                <w:sz w:val="18"/>
                <w:szCs w:val="18"/>
                <w:lang w:val="en-US" w:eastAsia="zh-CN"/>
              </w:rPr>
              <w:t>/10。</w:t>
            </w:r>
            <w:r>
              <w:rPr>
                <w:rFonts w:hint="eastAsia" w:ascii="仿宋_GB2312" w:hAnsi="仿宋_GB2312" w:eastAsia="仿宋_GB2312" w:cs="仿宋_GB2312"/>
                <w:sz w:val="18"/>
                <w:szCs w:val="18"/>
                <w:highlight w:val="none"/>
                <w:lang w:eastAsia="zh-CN"/>
              </w:rPr>
              <w:t>未达到标准值的每增加1%扣</w:t>
            </w:r>
            <w:r>
              <w:rPr>
                <w:rFonts w:hint="eastAsia" w:ascii="仿宋_GB2312" w:hAnsi="仿宋_GB2312" w:eastAsia="仿宋_GB2312" w:cs="仿宋_GB2312"/>
                <w:sz w:val="18"/>
                <w:szCs w:val="18"/>
                <w:highlight w:val="none"/>
                <w:lang w:val="en-US" w:eastAsia="zh-CN"/>
              </w:rPr>
              <w:t>1分，扣完为止</w:t>
            </w:r>
            <w:r>
              <w:rPr>
                <w:rFonts w:hint="eastAsia" w:ascii="仿宋_GB2312" w:hAnsi="仿宋_GB2312" w:eastAsia="仿宋_GB2312" w:cs="仿宋_GB2312"/>
                <w:sz w:val="18"/>
                <w:szCs w:val="18"/>
                <w:lang w:eastAsia="zh-CN"/>
              </w:rPr>
              <w:t>。</w:t>
            </w:r>
          </w:p>
        </w:tc>
        <w:tc>
          <w:tcPr>
            <w:tcW w:w="1240" w:type="pct"/>
            <w:shd w:val="clear" w:color="auto" w:fill="auto"/>
            <w:vAlign w:val="center"/>
          </w:tcPr>
          <w:p w14:paraId="35A02A8E">
            <w:pPr>
              <w:pStyle w:val="11"/>
              <w:rPr>
                <w:rFonts w:hint="eastAsia" w:ascii="仿宋_GB2312" w:hAnsi="仿宋_GB2312" w:eastAsia="仿宋_GB2312" w:cs="仿宋_GB2312"/>
                <w:sz w:val="18"/>
                <w:szCs w:val="18"/>
                <w:lang w:val="en-US" w:eastAsia="zh-CN"/>
              </w:rPr>
            </w:pPr>
            <w:r>
              <w:rPr>
                <w:rFonts w:hint="eastAsia" w:ascii="仿宋_GB2312" w:hAnsi="仿宋_GB2312" w:eastAsia="仿宋_GB2312" w:cs="仿宋_GB2312"/>
                <w:sz w:val="18"/>
                <w:szCs w:val="18"/>
                <w:lang w:eastAsia="zh-CN"/>
              </w:rPr>
              <w:t>根据综合考核反馈结果，计算不满意率</w:t>
            </w:r>
            <w:r>
              <w:rPr>
                <w:rFonts w:hint="eastAsia" w:ascii="仿宋_GB2312" w:hAnsi="仿宋_GB2312" w:eastAsia="仿宋_GB2312" w:cs="仿宋_GB2312"/>
                <w:sz w:val="18"/>
                <w:szCs w:val="18"/>
                <w:lang w:val="en-US" w:eastAsia="zh-CN"/>
              </w:rPr>
              <w:t>=(10-8.81)/10=11.9%,扣1.9分。</w:t>
            </w:r>
          </w:p>
          <w:p w14:paraId="297F3620">
            <w:pPr>
              <w:pStyle w:val="11"/>
              <w:rPr>
                <w:rFonts w:hint="default" w:ascii="仿宋_GB2312" w:hAnsi="仿宋_GB2312" w:eastAsia="仿宋_GB2312" w:cs="仿宋_GB2312"/>
                <w:sz w:val="18"/>
                <w:szCs w:val="18"/>
                <w:lang w:val="en-US" w:eastAsia="zh-CN"/>
              </w:rPr>
            </w:pPr>
            <w:r>
              <w:rPr>
                <w:rFonts w:hint="eastAsia" w:ascii="仿宋_GB2312" w:hAnsi="仿宋_GB2312" w:eastAsia="仿宋_GB2312" w:cs="仿宋_GB2312"/>
                <w:sz w:val="18"/>
                <w:szCs w:val="18"/>
                <w:lang w:val="en-US" w:eastAsia="zh-CN"/>
              </w:rPr>
              <w:t>扣分说明：不满意率11.9%超出标准1.9%，按照标准扣1.9分。</w:t>
            </w:r>
          </w:p>
        </w:tc>
        <w:tc>
          <w:tcPr>
            <w:tcW w:w="233" w:type="pct"/>
            <w:shd w:val="clear" w:color="auto" w:fill="auto"/>
            <w:vAlign w:val="center"/>
          </w:tcPr>
          <w:p w14:paraId="6F4490EA">
            <w:pPr>
              <w:pStyle w:val="11"/>
              <w:jc w:val="center"/>
              <w:rPr>
                <w:rFonts w:hint="default" w:ascii="仿宋_GB2312" w:hAnsi="仿宋_GB2312" w:eastAsia="仿宋_GB2312" w:cs="仿宋_GB2312"/>
                <w:snapToGrid w:val="0"/>
                <w:color w:val="000000"/>
                <w:sz w:val="18"/>
                <w:szCs w:val="18"/>
                <w:lang w:val="en-US" w:eastAsia="zh-CN" w:bidi="ar-SA"/>
              </w:rPr>
            </w:pPr>
            <w:r>
              <w:rPr>
                <w:rFonts w:hint="eastAsia" w:ascii="仿宋_GB2312" w:hAnsi="仿宋_GB2312" w:eastAsia="仿宋_GB2312" w:cs="仿宋_GB2312"/>
                <w:sz w:val="18"/>
                <w:szCs w:val="18"/>
                <w:lang w:val="en-US" w:eastAsia="zh-CN"/>
              </w:rPr>
              <w:t>8.1</w:t>
            </w:r>
          </w:p>
        </w:tc>
      </w:tr>
      <w:tr w14:paraId="7319DC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4" w:hRule="atLeast"/>
          <w:jc w:val="center"/>
        </w:trPr>
        <w:tc>
          <w:tcPr>
            <w:tcW w:w="836" w:type="pct"/>
            <w:gridSpan w:val="3"/>
            <w:vAlign w:val="center"/>
          </w:tcPr>
          <w:p w14:paraId="2973F910">
            <w:pPr>
              <w:pStyle w:val="11"/>
              <w:jc w:val="center"/>
              <w:rPr>
                <w:rFonts w:hint="eastAsia" w:ascii="仿宋_GB2312" w:hAnsi="仿宋_GB2312" w:eastAsia="仿宋_GB2312" w:cs="仿宋_GB2312"/>
                <w:sz w:val="18"/>
                <w:szCs w:val="18"/>
                <w:lang w:eastAsia="zh-CN"/>
              </w:rPr>
            </w:pPr>
            <w:r>
              <w:rPr>
                <w:rFonts w:hint="eastAsia" w:ascii="仿宋_GB2312" w:hAnsi="仿宋_GB2312" w:eastAsia="仿宋_GB2312" w:cs="仿宋_GB2312"/>
                <w:sz w:val="18"/>
                <w:szCs w:val="18"/>
                <w:lang w:eastAsia="zh-CN"/>
              </w:rPr>
              <w:t>合计</w:t>
            </w:r>
          </w:p>
        </w:tc>
        <w:tc>
          <w:tcPr>
            <w:tcW w:w="231" w:type="pct"/>
            <w:shd w:val="clear" w:color="auto" w:fill="auto"/>
            <w:vAlign w:val="center"/>
          </w:tcPr>
          <w:p w14:paraId="2EA056E5">
            <w:pPr>
              <w:pStyle w:val="11"/>
              <w:jc w:val="center"/>
              <w:rPr>
                <w:rFonts w:hint="eastAsia" w:ascii="仿宋_GB2312" w:hAnsi="仿宋_GB2312" w:eastAsia="仿宋_GB2312" w:cs="仿宋_GB2312"/>
                <w:sz w:val="18"/>
                <w:szCs w:val="18"/>
              </w:rPr>
            </w:pPr>
          </w:p>
        </w:tc>
        <w:tc>
          <w:tcPr>
            <w:tcW w:w="151" w:type="pct"/>
            <w:shd w:val="clear" w:color="auto" w:fill="auto"/>
            <w:vAlign w:val="center"/>
          </w:tcPr>
          <w:p w14:paraId="1AFAF2CD">
            <w:pPr>
              <w:pStyle w:val="11"/>
              <w:jc w:val="center"/>
              <w:rPr>
                <w:rFonts w:hint="eastAsia" w:ascii="仿宋_GB2312" w:hAnsi="仿宋_GB2312" w:eastAsia="仿宋_GB2312" w:cs="仿宋_GB2312"/>
                <w:sz w:val="18"/>
                <w:szCs w:val="18"/>
                <w:lang w:val="en-US" w:eastAsia="zh-CN"/>
              </w:rPr>
            </w:pPr>
            <w:r>
              <w:rPr>
                <w:rFonts w:hint="eastAsia" w:ascii="仿宋_GB2312" w:hAnsi="仿宋_GB2312" w:eastAsia="仿宋_GB2312" w:cs="仿宋_GB2312"/>
                <w:sz w:val="18"/>
                <w:szCs w:val="18"/>
                <w:lang w:val="en-US" w:eastAsia="zh-CN"/>
              </w:rPr>
              <w:t>100</w:t>
            </w:r>
          </w:p>
        </w:tc>
        <w:tc>
          <w:tcPr>
            <w:tcW w:w="698" w:type="pct"/>
            <w:shd w:val="clear" w:color="auto" w:fill="auto"/>
            <w:vAlign w:val="center"/>
          </w:tcPr>
          <w:p w14:paraId="252B4250">
            <w:pPr>
              <w:pStyle w:val="11"/>
              <w:rPr>
                <w:rFonts w:hint="eastAsia" w:ascii="仿宋_GB2312" w:hAnsi="仿宋_GB2312" w:eastAsia="仿宋_GB2312" w:cs="仿宋_GB2312"/>
                <w:sz w:val="18"/>
                <w:szCs w:val="18"/>
                <w:lang w:eastAsia="zh-CN"/>
              </w:rPr>
            </w:pPr>
          </w:p>
        </w:tc>
        <w:tc>
          <w:tcPr>
            <w:tcW w:w="1608" w:type="pct"/>
            <w:shd w:val="clear" w:color="auto" w:fill="auto"/>
            <w:vAlign w:val="center"/>
          </w:tcPr>
          <w:p w14:paraId="1D255374">
            <w:pPr>
              <w:pStyle w:val="11"/>
              <w:jc w:val="center"/>
              <w:rPr>
                <w:rFonts w:hint="eastAsia" w:ascii="仿宋_GB2312" w:hAnsi="仿宋_GB2312" w:eastAsia="仿宋_GB2312" w:cs="仿宋_GB2312"/>
                <w:sz w:val="18"/>
                <w:szCs w:val="18"/>
                <w:lang w:eastAsia="zh-CN"/>
              </w:rPr>
            </w:pPr>
          </w:p>
        </w:tc>
        <w:tc>
          <w:tcPr>
            <w:tcW w:w="1240" w:type="pct"/>
            <w:shd w:val="clear" w:color="auto" w:fill="auto"/>
            <w:vAlign w:val="center"/>
          </w:tcPr>
          <w:p w14:paraId="5270720D">
            <w:pPr>
              <w:pStyle w:val="11"/>
              <w:rPr>
                <w:rFonts w:hint="eastAsia" w:ascii="仿宋_GB2312" w:hAnsi="仿宋_GB2312" w:eastAsia="仿宋_GB2312" w:cs="仿宋_GB2312"/>
                <w:sz w:val="18"/>
                <w:szCs w:val="18"/>
                <w:lang w:eastAsia="zh-CN"/>
              </w:rPr>
            </w:pPr>
          </w:p>
        </w:tc>
        <w:tc>
          <w:tcPr>
            <w:tcW w:w="233" w:type="pct"/>
            <w:shd w:val="clear" w:color="auto" w:fill="auto"/>
            <w:vAlign w:val="center"/>
          </w:tcPr>
          <w:p w14:paraId="6875D05B">
            <w:pPr>
              <w:pStyle w:val="11"/>
              <w:jc w:val="center"/>
              <w:rPr>
                <w:rFonts w:hint="default" w:ascii="仿宋_GB2312" w:hAnsi="仿宋_GB2312" w:eastAsia="仿宋_GB2312" w:cs="仿宋_GB2312"/>
                <w:sz w:val="18"/>
                <w:szCs w:val="18"/>
                <w:lang w:val="en-US" w:eastAsia="zh-CN"/>
              </w:rPr>
            </w:pPr>
            <w:r>
              <w:rPr>
                <w:rFonts w:hint="eastAsia" w:ascii="仿宋_GB2312" w:hAnsi="仿宋_GB2312" w:eastAsia="仿宋_GB2312" w:cs="仿宋_GB2312"/>
                <w:sz w:val="18"/>
                <w:szCs w:val="18"/>
                <w:lang w:val="en-US" w:eastAsia="zh-CN"/>
              </w:rPr>
              <w:t>97.29</w:t>
            </w:r>
          </w:p>
        </w:tc>
      </w:tr>
    </w:tbl>
    <w:p w14:paraId="13920DE9">
      <w:pPr>
        <w:rPr>
          <w:highlight w:val="none"/>
          <w:lang w:eastAsia="zh-CN"/>
        </w:rPr>
      </w:pPr>
    </w:p>
    <w:sectPr>
      <w:footerReference r:id="rId4" w:type="default"/>
      <w:pgSz w:w="16839" w:h="11907"/>
      <w:pgMar w:top="1012" w:right="266" w:bottom="400" w:left="204" w:header="0" w:footer="0" w:gutter="0"/>
      <w:pgBorders>
        <w:top w:val="none" w:sz="0" w:space="0"/>
        <w:left w:val="none" w:sz="0" w:space="0"/>
        <w:bottom w:val="none" w:sz="0" w:space="0"/>
        <w:right w:val="none" w:sz="0" w:space="0"/>
      </w:pgBorders>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国标黑体">
    <w:altName w:val="黑体"/>
    <w:panose1 w:val="02000500000000000000"/>
    <w:charset w:val="86"/>
    <w:family w:val="auto"/>
    <w:pitch w:val="default"/>
    <w:sig w:usb0="00000000" w:usb1="00000000" w:usb2="00000000" w:usb3="00000000" w:csb0="00040000" w:csb1="00000000"/>
  </w:font>
  <w:font w:name="MS PGothic">
    <w:panose1 w:val="020B0600070205080204"/>
    <w:charset w:val="80"/>
    <w:family w:val="auto"/>
    <w:pitch w:val="default"/>
    <w:sig w:usb0="E00002FF" w:usb1="6AC7FDFB" w:usb2="00000012" w:usb3="00000000" w:csb0="4002009F" w:csb1="DFD7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方正仿宋简体">
    <w:altName w:val="Arial Unicode MS"/>
    <w:panose1 w:val="02010601030101010101"/>
    <w:charset w:val="86"/>
    <w:family w:val="auto"/>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FC1D7A">
    <w:pPr>
      <w:spacing w:line="177" w:lineRule="auto"/>
      <w:ind w:left="4080"/>
      <w:rPr>
        <w:sz w:val="18"/>
        <w:szCs w:val="18"/>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7" name="文本框 4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848A18">
                          <w:pPr>
                            <w:pStyle w:val="4"/>
                          </w:pPr>
                          <w:r>
                            <w:fldChar w:fldCharType="begin"/>
                          </w:r>
                          <w:r>
                            <w:instrText xml:space="preserve"> PAGE  \* MERGEFORMAT </w:instrText>
                          </w:r>
                          <w:r>
                            <w:fldChar w:fldCharType="separate"/>
                          </w:r>
                          <w:r>
                            <w:t>25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JqthBktAgAAVwQAAA4AAAAAAAAAAQAgAAAAHwEAAGRycy9lMm9Eb2MueG1sUEsFBgAAAAAG&#10;AAYAWQEAAL4FAAAAAA==&#10;">
              <v:fill on="f" focussize="0,0"/>
              <v:stroke on="f" weight="0.5pt"/>
              <v:imagedata o:title=""/>
              <o:lock v:ext="edit" aspectratio="f"/>
              <v:textbox inset="0mm,0mm,0mm,0mm" style="mso-fit-shape-to-text:t;">
                <w:txbxContent>
                  <w:p w14:paraId="40848A18">
                    <w:pPr>
                      <w:pStyle w:val="4"/>
                    </w:pPr>
                    <w:r>
                      <w:fldChar w:fldCharType="begin"/>
                    </w:r>
                    <w:r>
                      <w:instrText xml:space="preserve"> PAGE  \* MERGEFORMAT </w:instrText>
                    </w:r>
                    <w:r>
                      <w:fldChar w:fldCharType="separate"/>
                    </w:r>
                    <w:r>
                      <w:t>25</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C5D0B2">
    <w:pPr>
      <w:spacing w:line="14" w:lineRule="auto"/>
      <w:rPr>
        <w:sz w:val="2"/>
      </w:rPr>
    </w:pPr>
    <w:r>
      <w:rPr>
        <w:sz w:val="2"/>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8" name="文本框 4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0A8C56">
                          <w:pPr>
                            <w:pStyle w:val="4"/>
                          </w:pPr>
                          <w:r>
                            <w:fldChar w:fldCharType="begin"/>
                          </w:r>
                          <w:r>
                            <w:instrText xml:space="preserve"> PAGE  \* MERGEFORMAT </w:instrText>
                          </w:r>
                          <w:r>
                            <w:fldChar w:fldCharType="separate"/>
                          </w:r>
                          <w:r>
                            <w:t>26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AsRGwsAgAAVw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ACxEbCwCAABXBAAADgAAAAAAAAABACAAAAAfAQAAZHJzL2Uyb0RvYy54bWxQSwUGAAAAAAYA&#10;BgBZAQAAvQUAAAAA&#10;">
              <v:fill on="f" focussize="0,0"/>
              <v:stroke on="f" weight="0.5pt"/>
              <v:imagedata o:title=""/>
              <o:lock v:ext="edit" aspectratio="f"/>
              <v:textbox inset="0mm,0mm,0mm,0mm" style="mso-fit-shape-to-text:t;">
                <w:txbxContent>
                  <w:p w14:paraId="560A8C56">
                    <w:pPr>
                      <w:pStyle w:val="4"/>
                    </w:pPr>
                    <w:r>
                      <w:fldChar w:fldCharType="begin"/>
                    </w:r>
                    <w:r>
                      <w:instrText xml:space="preserve"> PAGE  \* MERGEFORMAT </w:instrText>
                    </w:r>
                    <w:r>
                      <w:fldChar w:fldCharType="separate"/>
                    </w:r>
                    <w:r>
                      <w:t>26</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FD1C3A7"/>
    <w:multiLevelType w:val="singleLevel"/>
    <w:tmpl w:val="3FD1C3A7"/>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spaceForUL/>
    <w:ulTrailSpace/>
    <w:doNotExpandShiftReturn/>
    <w:doNotWrapTextWithPunct/>
    <w:doNotUseEastAsianBreakRules/>
    <w:useFELayout/>
    <w:compatSetting w:name="compatibilityMode" w:uri="http://schemas.microsoft.com/office/word" w:val="14"/>
  </w:compat>
  <w:docVars>
    <w:docVar w:name="commondata" w:val="eyJoZGlkIjoiNmRlYjZmZjRlYTg3YTVlYWJjZDM3NmM3MTIzNGZjZGQifQ=="/>
  </w:docVars>
  <w:rsids>
    <w:rsidRoot w:val="0074447D"/>
    <w:rsid w:val="00037071"/>
    <w:rsid w:val="000A7D6E"/>
    <w:rsid w:val="00104FD1"/>
    <w:rsid w:val="00152447"/>
    <w:rsid w:val="00173F44"/>
    <w:rsid w:val="0021199F"/>
    <w:rsid w:val="00213CEE"/>
    <w:rsid w:val="00281B03"/>
    <w:rsid w:val="002A4E53"/>
    <w:rsid w:val="002F334E"/>
    <w:rsid w:val="002F7553"/>
    <w:rsid w:val="00321386"/>
    <w:rsid w:val="003452F3"/>
    <w:rsid w:val="003463B7"/>
    <w:rsid w:val="00360FF0"/>
    <w:rsid w:val="003671F9"/>
    <w:rsid w:val="0037139D"/>
    <w:rsid w:val="003C4C54"/>
    <w:rsid w:val="003E27A3"/>
    <w:rsid w:val="00444590"/>
    <w:rsid w:val="00622FB5"/>
    <w:rsid w:val="00644D5E"/>
    <w:rsid w:val="00651CCA"/>
    <w:rsid w:val="0066657C"/>
    <w:rsid w:val="006A187D"/>
    <w:rsid w:val="0074447D"/>
    <w:rsid w:val="007C74CC"/>
    <w:rsid w:val="00817BEA"/>
    <w:rsid w:val="008215F9"/>
    <w:rsid w:val="008A68F4"/>
    <w:rsid w:val="008A6E47"/>
    <w:rsid w:val="008A6ED3"/>
    <w:rsid w:val="0091063A"/>
    <w:rsid w:val="009133AA"/>
    <w:rsid w:val="00916CCC"/>
    <w:rsid w:val="0093139E"/>
    <w:rsid w:val="00983203"/>
    <w:rsid w:val="009E4DEB"/>
    <w:rsid w:val="009F22AD"/>
    <w:rsid w:val="00A152C6"/>
    <w:rsid w:val="00A664BC"/>
    <w:rsid w:val="00A6705F"/>
    <w:rsid w:val="00A83FEB"/>
    <w:rsid w:val="00AD59EF"/>
    <w:rsid w:val="00B47F57"/>
    <w:rsid w:val="00B645B8"/>
    <w:rsid w:val="00C63955"/>
    <w:rsid w:val="00D04EF5"/>
    <w:rsid w:val="00D142D4"/>
    <w:rsid w:val="00D228D0"/>
    <w:rsid w:val="00D3409E"/>
    <w:rsid w:val="00D90458"/>
    <w:rsid w:val="00DC7253"/>
    <w:rsid w:val="00E30160"/>
    <w:rsid w:val="00E52BE2"/>
    <w:rsid w:val="00E67A8D"/>
    <w:rsid w:val="00EA0CB9"/>
    <w:rsid w:val="00EF6617"/>
    <w:rsid w:val="00F11CA8"/>
    <w:rsid w:val="00F8518E"/>
    <w:rsid w:val="00FE0CAA"/>
    <w:rsid w:val="00FE1A1A"/>
    <w:rsid w:val="012B26BA"/>
    <w:rsid w:val="015F5D72"/>
    <w:rsid w:val="023F5CCC"/>
    <w:rsid w:val="02EB37D3"/>
    <w:rsid w:val="03210E71"/>
    <w:rsid w:val="039447DF"/>
    <w:rsid w:val="042B3211"/>
    <w:rsid w:val="067258E5"/>
    <w:rsid w:val="07716FC5"/>
    <w:rsid w:val="087E15BA"/>
    <w:rsid w:val="08D30DCE"/>
    <w:rsid w:val="08EB3C60"/>
    <w:rsid w:val="09045F63"/>
    <w:rsid w:val="09263EDD"/>
    <w:rsid w:val="097900D1"/>
    <w:rsid w:val="0A0816E0"/>
    <w:rsid w:val="0A3F15AD"/>
    <w:rsid w:val="0A4554D3"/>
    <w:rsid w:val="0A9E0338"/>
    <w:rsid w:val="0C090D29"/>
    <w:rsid w:val="0D1B1ACD"/>
    <w:rsid w:val="113B11DD"/>
    <w:rsid w:val="11954586"/>
    <w:rsid w:val="11C93525"/>
    <w:rsid w:val="11DF0BCF"/>
    <w:rsid w:val="1356593D"/>
    <w:rsid w:val="14DC75FE"/>
    <w:rsid w:val="14FC5E11"/>
    <w:rsid w:val="15DA531D"/>
    <w:rsid w:val="162A4334"/>
    <w:rsid w:val="177C5C31"/>
    <w:rsid w:val="17AE28C8"/>
    <w:rsid w:val="18CD7130"/>
    <w:rsid w:val="19185113"/>
    <w:rsid w:val="19455539"/>
    <w:rsid w:val="1C642AB4"/>
    <w:rsid w:val="1C936679"/>
    <w:rsid w:val="1D312D33"/>
    <w:rsid w:val="1F2D6185"/>
    <w:rsid w:val="1F663A80"/>
    <w:rsid w:val="22B54889"/>
    <w:rsid w:val="237A41C3"/>
    <w:rsid w:val="2505490A"/>
    <w:rsid w:val="25EE2BC7"/>
    <w:rsid w:val="26394C9C"/>
    <w:rsid w:val="26527C90"/>
    <w:rsid w:val="26CC7C68"/>
    <w:rsid w:val="273D46C2"/>
    <w:rsid w:val="28285372"/>
    <w:rsid w:val="29595C8E"/>
    <w:rsid w:val="29E20DC6"/>
    <w:rsid w:val="2C133908"/>
    <w:rsid w:val="2C4657AD"/>
    <w:rsid w:val="2CF85525"/>
    <w:rsid w:val="2D2677B4"/>
    <w:rsid w:val="3003136E"/>
    <w:rsid w:val="30111224"/>
    <w:rsid w:val="320534A5"/>
    <w:rsid w:val="325E1F87"/>
    <w:rsid w:val="32A63A63"/>
    <w:rsid w:val="331109B7"/>
    <w:rsid w:val="33792F26"/>
    <w:rsid w:val="33D75E9F"/>
    <w:rsid w:val="341A2AA6"/>
    <w:rsid w:val="34272B9E"/>
    <w:rsid w:val="34467EB8"/>
    <w:rsid w:val="36866002"/>
    <w:rsid w:val="36EA4561"/>
    <w:rsid w:val="37331329"/>
    <w:rsid w:val="37BE2D84"/>
    <w:rsid w:val="38F0413A"/>
    <w:rsid w:val="39A57F90"/>
    <w:rsid w:val="39BF3486"/>
    <w:rsid w:val="3A6E1593"/>
    <w:rsid w:val="3B016796"/>
    <w:rsid w:val="3B977DCF"/>
    <w:rsid w:val="3B9E2DF3"/>
    <w:rsid w:val="3BA657A2"/>
    <w:rsid w:val="3C752336"/>
    <w:rsid w:val="3D263C45"/>
    <w:rsid w:val="3F702753"/>
    <w:rsid w:val="403F1053"/>
    <w:rsid w:val="407C40D2"/>
    <w:rsid w:val="413564CB"/>
    <w:rsid w:val="419613E9"/>
    <w:rsid w:val="41C34462"/>
    <w:rsid w:val="422449A5"/>
    <w:rsid w:val="43F76856"/>
    <w:rsid w:val="44574932"/>
    <w:rsid w:val="45616523"/>
    <w:rsid w:val="46961390"/>
    <w:rsid w:val="46D064A5"/>
    <w:rsid w:val="498E6974"/>
    <w:rsid w:val="49B715A8"/>
    <w:rsid w:val="4AD436E5"/>
    <w:rsid w:val="4BEA6E11"/>
    <w:rsid w:val="4CEC1DCF"/>
    <w:rsid w:val="4D832888"/>
    <w:rsid w:val="4E55320A"/>
    <w:rsid w:val="4F0E056F"/>
    <w:rsid w:val="4F2F65F9"/>
    <w:rsid w:val="50270D1B"/>
    <w:rsid w:val="50306C0B"/>
    <w:rsid w:val="508C69F3"/>
    <w:rsid w:val="50A82C45"/>
    <w:rsid w:val="510D7AA7"/>
    <w:rsid w:val="51AB00C0"/>
    <w:rsid w:val="52FD7A90"/>
    <w:rsid w:val="544E3085"/>
    <w:rsid w:val="54BB2F47"/>
    <w:rsid w:val="558E174B"/>
    <w:rsid w:val="55E03E74"/>
    <w:rsid w:val="56616ACC"/>
    <w:rsid w:val="56BD366E"/>
    <w:rsid w:val="57EF6BD3"/>
    <w:rsid w:val="586453DA"/>
    <w:rsid w:val="59902BA7"/>
    <w:rsid w:val="5AA97BF3"/>
    <w:rsid w:val="5D5B252A"/>
    <w:rsid w:val="5D6F0D99"/>
    <w:rsid w:val="5DC2540A"/>
    <w:rsid w:val="5DEE6D09"/>
    <w:rsid w:val="5E5C016C"/>
    <w:rsid w:val="5EAD76E2"/>
    <w:rsid w:val="5EB55B71"/>
    <w:rsid w:val="5EB82351"/>
    <w:rsid w:val="602A71D2"/>
    <w:rsid w:val="60865160"/>
    <w:rsid w:val="61C745C1"/>
    <w:rsid w:val="62052429"/>
    <w:rsid w:val="64085A7D"/>
    <w:rsid w:val="643D3FEF"/>
    <w:rsid w:val="645448AB"/>
    <w:rsid w:val="662D1831"/>
    <w:rsid w:val="67B847C4"/>
    <w:rsid w:val="6A2F6261"/>
    <w:rsid w:val="6A63297A"/>
    <w:rsid w:val="6D7C5FAF"/>
    <w:rsid w:val="6E870F92"/>
    <w:rsid w:val="6ECD55A7"/>
    <w:rsid w:val="707D0CC5"/>
    <w:rsid w:val="710F5169"/>
    <w:rsid w:val="711876F5"/>
    <w:rsid w:val="714621FB"/>
    <w:rsid w:val="71BF2C84"/>
    <w:rsid w:val="725754BB"/>
    <w:rsid w:val="72A72905"/>
    <w:rsid w:val="72DE2E47"/>
    <w:rsid w:val="742046D1"/>
    <w:rsid w:val="744F4568"/>
    <w:rsid w:val="759F7381"/>
    <w:rsid w:val="770B6281"/>
    <w:rsid w:val="77E45FA0"/>
    <w:rsid w:val="78F338C1"/>
    <w:rsid w:val="79064F14"/>
    <w:rsid w:val="790C5967"/>
    <w:rsid w:val="79596ACA"/>
    <w:rsid w:val="7BCC657D"/>
    <w:rsid w:val="7D1D5C9D"/>
    <w:rsid w:val="7D9B1065"/>
    <w:rsid w:val="7E577E64"/>
    <w:rsid w:val="7F7C5926"/>
    <w:rsid w:val="7FCA0AE5"/>
    <w:rsid w:val="7FF504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paragraph" w:styleId="2">
    <w:name w:val="heading 1"/>
    <w:basedOn w:val="1"/>
    <w:next w:val="1"/>
    <w:qFormat/>
    <w:uiPriority w:val="0"/>
    <w:pPr>
      <w:spacing w:beforeAutospacing="1" w:afterAutospacing="1"/>
      <w:jc w:val="left"/>
      <w:outlineLvl w:val="0"/>
    </w:pPr>
    <w:rPr>
      <w:rFonts w:hint="eastAsia" w:ascii="宋体" w:hAnsi="宋体"/>
      <w:b/>
      <w:bCs/>
      <w:kern w:val="44"/>
      <w:sz w:val="48"/>
      <w:szCs w:val="48"/>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ody Text"/>
    <w:basedOn w:val="1"/>
    <w:semiHidden/>
    <w:qFormat/>
    <w:uiPriority w:val="0"/>
    <w:rPr>
      <w:rFonts w:ascii="仿宋" w:hAnsi="仿宋" w:eastAsia="仿宋" w:cs="仿宋"/>
      <w:sz w:val="31"/>
      <w:szCs w:val="31"/>
    </w:rPr>
  </w:style>
  <w:style w:type="paragraph" w:styleId="4">
    <w:name w:val="footer"/>
    <w:basedOn w:val="1"/>
    <w:qFormat/>
    <w:uiPriority w:val="0"/>
    <w:pPr>
      <w:tabs>
        <w:tab w:val="center" w:pos="4153"/>
        <w:tab w:val="right" w:pos="8306"/>
      </w:tabs>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paragraph" w:styleId="6">
    <w:name w:val="Normal (Web)"/>
    <w:basedOn w:val="1"/>
    <w:qFormat/>
    <w:uiPriority w:val="0"/>
    <w:pPr>
      <w:spacing w:before="100" w:beforeAutospacing="1" w:after="100" w:afterAutospacing="1"/>
    </w:pPr>
    <w:rPr>
      <w:rFonts w:ascii="宋体" w:hAnsi="宋体" w:cs="宋体"/>
      <w:sz w:val="24"/>
    </w:rPr>
  </w:style>
  <w:style w:type="character" w:styleId="9">
    <w:name w:val="Emphasis"/>
    <w:basedOn w:val="8"/>
    <w:qFormat/>
    <w:uiPriority w:val="0"/>
    <w:rPr>
      <w:i/>
    </w:rPr>
  </w:style>
  <w:style w:type="table" w:customStyle="1" w:styleId="10">
    <w:name w:val="Table Normal"/>
    <w:semiHidden/>
    <w:unhideWhenUsed/>
    <w:qFormat/>
    <w:uiPriority w:val="0"/>
    <w:tblPr>
      <w:tblCellMar>
        <w:top w:w="0" w:type="dxa"/>
        <w:left w:w="0" w:type="dxa"/>
        <w:bottom w:w="0" w:type="dxa"/>
        <w:right w:w="0" w:type="dxa"/>
      </w:tblCellMar>
    </w:tblPr>
  </w:style>
  <w:style w:type="paragraph" w:customStyle="1" w:styleId="11">
    <w:name w:val="Table Text"/>
    <w:basedOn w:val="1"/>
    <w:semiHidden/>
    <w:qFormat/>
    <w:uiPriority w:val="0"/>
    <w:rPr>
      <w:rFonts w:ascii="Times New Roman" w:hAnsi="Times New Roman" w:eastAsia="Times New Roman" w:cs="Times New Roman"/>
      <w:sz w:val="24"/>
      <w:szCs w:val="24"/>
    </w:rPr>
  </w:style>
  <w:style w:type="paragraph" w:customStyle="1" w:styleId="12">
    <w:name w:val="Revision"/>
    <w:hidden/>
    <w:unhideWhenUsed/>
    <w:qFormat/>
    <w:uiPriority w:val="99"/>
    <w:rPr>
      <w:rFonts w:ascii="Arial" w:hAnsi="Arial" w:eastAsia="Arial" w:cs="Arial"/>
      <w:snapToGrid w:val="0"/>
      <w:color w:val="000000"/>
      <w:sz w:val="21"/>
      <w:szCs w:val="21"/>
      <w:lang w:val="en-US" w:eastAsia="en-US" w:bidi="ar-SA"/>
    </w:rPr>
  </w:style>
  <w:style w:type="paragraph" w:customStyle="1" w:styleId="13">
    <w:name w:val="公文正文"/>
    <w:basedOn w:val="1"/>
    <w:qFormat/>
    <w:uiPriority w:val="0"/>
    <w:pPr>
      <w:keepNext w:val="0"/>
      <w:keepLines w:val="0"/>
      <w:widowControl w:val="0"/>
      <w:suppressLineNumbers w:val="0"/>
      <w:spacing w:line="560" w:lineRule="exact"/>
      <w:ind w:left="200" w:leftChars="200"/>
      <w:jc w:val="both"/>
    </w:pPr>
    <w:rPr>
      <w:rFonts w:hint="default" w:ascii="Times New Roman" w:hAnsi="Times New Roman" w:eastAsia="仿宋_GB2312" w:cs="Times New Roman"/>
      <w:kern w:val="2"/>
      <w:sz w:val="32"/>
      <w:szCs w:val="32"/>
      <w:lang w:val="en-US" w:eastAsia="zh-CN" w:bidi="ar"/>
    </w:rPr>
  </w:style>
  <w:style w:type="paragraph" w:customStyle="1" w:styleId="14">
    <w:name w:val="标题1"/>
    <w:basedOn w:val="1"/>
    <w:next w:val="1"/>
    <w:qFormat/>
    <w:uiPriority w:val="0"/>
    <w:pPr>
      <w:tabs>
        <w:tab w:val="left" w:pos="9193"/>
        <w:tab w:val="left" w:pos="9827"/>
      </w:tabs>
      <w:spacing w:line="640" w:lineRule="atLeast"/>
      <w:ind w:firstLine="0"/>
      <w:jc w:val="center"/>
    </w:pPr>
    <w:rPr>
      <w:rFonts w:eastAsia="方正小标宋_GBK"/>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21</Pages>
  <Words>1646</Words>
  <Characters>2011</Characters>
  <Lines>171</Lines>
  <Paragraphs>48</Paragraphs>
  <TotalTime>3</TotalTime>
  <ScaleCrop>false</ScaleCrop>
  <LinksUpToDate>false</LinksUpToDate>
  <CharactersWithSpaces>2017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2023-09-19T16:08:00Z</dcterms:created>
  <dc:creator>tqr</dc:creator>
  <cp:lastModifiedBy>WPS_1777446773</cp:lastModifiedBy>
  <cp:lastPrinted>2025-10-10T04:37:00Z</cp:lastPrinted>
  <dcterms:modified xsi:type="dcterms:W3CDTF">2026-08-13T11:04:13Z</dcterms:modified>
  <cp:revision>76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2024-06-18T16:04:48Z</vt:filetime>
  </property>
  <property fmtid="{D5CDD505-2E9C-101B-9397-08002B2CF9AE}" pid="4" name="KSOProductBuildVer">
    <vt:lpwstr>2052-12.1.0.28043</vt:lpwstr>
  </property>
  <property fmtid="{D5CDD505-2E9C-101B-9397-08002B2CF9AE}" pid="5" name="ICV">
    <vt:lpwstr>6EF3B251B53D4C4A87D4F8D81CA6FF60_13</vt:lpwstr>
  </property>
  <property fmtid="{D5CDD505-2E9C-101B-9397-08002B2CF9AE}" pid="6" name="KSOTemplateDocerSaveRecord">
    <vt:lpwstr>eyJoZGlkIjoiNmRlYjZmZjRlYTg3YTVlYWJjZDM3NmM3MTIzNGZjZGQiLCJ1c2VySWQiOiIxODI4OTgwNDg5In0=</vt:lpwstr>
  </property>
</Properties>
</file>