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rPr>
                <w:rFonts w:hint="eastAsia" w:ascii="仿宋" w:hAnsi="仿宋" w:eastAsia="仿宋" w:cs="仿宋"/>
                <w:b/>
                <w:bCs/>
                <w:color w:val="FF0000"/>
                <w:sz w:val="22"/>
                <w:szCs w:val="2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top"/>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2021年度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南京仲裁委员会办公室</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部门决算公开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tabs>
          <w:tab w:val="left" w:pos="880"/>
        </w:tabs>
        <w:spacing w:line="718" w:lineRule="exact"/>
        <w:ind w:right="313" w:firstLine="0"/>
        <w:outlineLvl w:val="0"/>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after="0"/>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outlineLvl w:val="0"/>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val="en-US" w:eastAsia="zh-CN"/>
        </w:rPr>
        <w:t>部门</w:t>
      </w:r>
      <w:r>
        <w:rPr>
          <w:rFonts w:hint="eastAsia" w:ascii="黑体" w:hAnsi="黑体" w:eastAsia="黑体" w:cs="黑体"/>
          <w:b w:val="0"/>
          <w:bCs w:val="0"/>
        </w:rPr>
        <w:t>概况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机构设置及决算单位构成情况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2021</w:t>
      </w:r>
      <w:r>
        <w:rPr>
          <w:rFonts w:hint="eastAsia" w:ascii="仿宋" w:hAnsi="仿宋" w:eastAsia="仿宋" w:cs="仿宋"/>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rPr>
      </w:pPr>
      <w:r>
        <w:rPr>
          <w:rFonts w:hint="eastAsia" w:ascii="黑体" w:hAnsi="黑体" w:eastAsia="黑体" w:cs="黑体"/>
          <w:b w:val="0"/>
          <w:bCs w:val="0"/>
          <w:lang w:val="en-US" w:eastAsia="zh-CN"/>
        </w:rPr>
        <w:t>第二部分 2021年度</w:t>
      </w:r>
      <w:r>
        <w:rPr>
          <w:rFonts w:ascii="黑体" w:hAnsi="黑体" w:eastAsia="黑体" w:cs="黑体"/>
        </w:rPr>
        <w:t>部门决算表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spacing w:val="-2"/>
        </w:rPr>
        <w:t>一、收入支出决算总表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rPr>
        <w:t>二、收入决算表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w w:val="95"/>
        </w:rPr>
        <w:t>三、支出决算表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六、财政拨款基本支出决算表（经济科目） 七、一般公共预算支出决算表（功能科目）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default" w:ascii="仿宋" w:hAnsi="仿宋" w:eastAsia="仿宋" w:cs="仿宋"/>
          <w:lang w:val="en-US" w:eastAsia="zh-CN"/>
        </w:rPr>
      </w:pPr>
      <w:r>
        <w:rPr>
          <w:rFonts w:hint="eastAsia" w:ascii="仿宋" w:hAnsi="仿宋" w:eastAsia="仿宋" w:cs="仿宋"/>
        </w:rPr>
        <w:t>十一、</w:t>
      </w:r>
      <w:r>
        <w:rPr>
          <w:rFonts w:hint="eastAsia" w:ascii="仿宋" w:hAnsi="仿宋" w:eastAsia="仿宋" w:cs="仿宋"/>
          <w:lang w:val="en-US" w:eastAsia="zh-CN"/>
        </w:rPr>
        <w:t>国有资本经营预算支出决算表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第三部分 2021年度</w:t>
      </w:r>
      <w:r>
        <w:rPr>
          <w:rFonts w:ascii="黑体" w:hAnsi="黑体" w:eastAsia="黑体" w:cs="黑体"/>
        </w:rPr>
        <w:t>部门决算情况说明</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default" w:ascii="仿宋" w:hAnsi="仿宋" w:eastAsia="仿宋" w:cs="仿宋"/>
          <w:b/>
          <w:bCs/>
          <w:color w:val="000000"/>
          <w:sz w:val="30"/>
          <w:szCs w:val="30"/>
          <w:lang w:val="en-US" w:eastAsia="zh-CN" w:bidi="ar"/>
        </w:rPr>
      </w:pPr>
      <w:r>
        <w:rPr>
          <w:rFonts w:hint="eastAsia" w:ascii="黑体" w:hAnsi="黑体" w:eastAsia="黑体" w:cs="黑体"/>
          <w:b w:val="0"/>
          <w:bCs w:val="0"/>
          <w:lang w:val="en-US" w:eastAsia="zh-CN"/>
        </w:rPr>
        <w:t>第四部分 名词解释</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283"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outlineLvl w:val="0"/>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eastAsia="zh-CN"/>
        </w:rPr>
        <w:t xml:space="preserve"> </w:t>
      </w:r>
      <w:r>
        <w:rPr>
          <w:rFonts w:hint="eastAsia" w:ascii="宋体" w:hAnsi="宋体" w:eastAsia="宋体" w:cs="宋体"/>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南京仲裁委员会是由南京市政府于1998依据《中华人民共和国仲裁法》年成立的，系解决平等主体的自然人、法人和其他组织之间发生的合同纠纷和其他财产权益纠纷的常设仲裁机构。南京仲裁委员会办公室是南京仲裁委员会的日常办事机构，为正局级全额拨款事业单位，公益二类。仲裁办的主要职能是根据《仲裁法》及国务院办公厅有关文件的规定，承担对平等主体的公民、法人和其他组织之间的合同纠纷、其他财产权益纠纷等仲裁案件的受理和立案审查工作；以及根据章程、规则，承担案件办理、程序管理、裁判文书核阅和仲裁过程中的其他事务性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二、</w:t>
      </w:r>
      <w:r>
        <w:rPr>
          <w:rFonts w:ascii="黑体" w:hAnsi="黑体" w:eastAsia="黑体" w:cs="黑体"/>
        </w:rPr>
        <w:t>部门</w:t>
      </w:r>
      <w:r>
        <w:rPr>
          <w:rFonts w:hint="eastAsia" w:ascii="黑体" w:hAnsi="黑体" w:eastAsia="黑体" w:cs="黑体"/>
          <w:b w:val="0"/>
          <w:bCs w:val="0"/>
        </w:rPr>
        <w:t>机构设置及决算单位构成情况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本部门内设机构包括综合部、立案和发展部、案件承办一部、案件承办二部、国际仲裁部（网络仲裁部）。本部门无下属单位。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从决算单位构成看，纳入本</w:t>
      </w:r>
      <w:r>
        <w:rPr>
          <w:rFonts w:hint="eastAsia" w:ascii="仿宋" w:hAnsi="仿宋" w:eastAsia="仿宋" w:cs="仿宋"/>
          <w:lang w:val="en-US" w:eastAsia="zh-CN"/>
        </w:rPr>
        <w:t>部门</w:t>
      </w:r>
      <w:r>
        <w:rPr>
          <w:rFonts w:hint="eastAsia" w:ascii="仿宋" w:hAnsi="仿宋" w:eastAsia="仿宋" w:cs="仿宋"/>
          <w:lang w:eastAsia="zh-CN"/>
        </w:rPr>
        <w:t>2021</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汇总决算编制范围的预算单位共计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南京仲裁委办公室本级。</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三、</w:t>
      </w:r>
      <w:r>
        <w:rPr>
          <w:rFonts w:hint="eastAsia" w:ascii="黑体" w:hAnsi="黑体" w:eastAsia="黑体" w:cs="黑体"/>
          <w:b w:val="0"/>
          <w:bCs w:val="0"/>
          <w:lang w:eastAsia="zh-CN"/>
        </w:rPr>
        <w:t>2021</w:t>
      </w:r>
      <w:r>
        <w:rPr>
          <w:rFonts w:hint="eastAsia" w:ascii="黑体" w:hAnsi="黑体" w:eastAsia="黑体" w:cs="黑体"/>
          <w:b w:val="0"/>
          <w:bCs w:val="0"/>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2021年南京仲裁委员会共受理仲裁案件2946件，涉案争议金额49.35亿元，受理案件数、争议金额实现全省双第一，争议金额再创历史新高。其中一方或双方当事人是南京以外地区的占比64%，调解及和解撤案率53%；无一起被法院撤销或通知重审；涉及新经济新业态新模式的仲裁案件有所增长。</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一、紧贴中心工作，聚力仲裁服务高质量发展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第一，积极服务对外开放新格局。去年年底增挂江苏（南京）国际商事仲裁中心，作为全省唯一国际商事仲裁法律服务平台，今年受理涉外案件再创历史新高，现已受理涉外涉港澳台案件共59件（包括美、英、法、日、新加坡、肯尼亚等国家）。今年4月，南京仲裁委员会中国（江苏）自贸区仲裁院正式在江北新区揭牌，同步发布《中国（江苏）自贸区仲裁规则》，目前已受理涉自贸区以及外地自贸区案件十余件。与省港澳办联合开展“江苏省港澳投资企业法律服务月”活动，走进镇江、常州和宿迁三地港澳投资企业，举办专场宣传推介仲裁制度和南京港澳仲裁院。积极参与《江苏省保护和促进香港澳门同胞投资条例》修订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第二，有力保障创新名城建设。今年受理知识产权类型案件230件，同比增长超1倍，知识产权案件量连续几年位列全国前十，知识产权仲裁调解中心共接待解决纠纷超400件。积极助力省级知识产权示范区建设，已成为其中富有南京特色的工作亮点：开展知识产权宣传周活动，围绕专利法修改、商业秘密保护、著作权保护等方面举办多场专题讲座；与江北新区人民法院、科技创新局等十一家单位共同签署《南京江北新区（自贸区南京片区）知识产权全链条保护合作备忘录》，助力江北新区（自贸区南京片区）知识产权保护水平整体提升；连续5年在市政府发布的《南京市知识产权保护状况》白皮书中，专章介绍知识产权仲裁工作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第三，护航民营经济新发展。近两年，仲裁案件当事人涉及民营企业的占比均在80%以上。为更好了解服务民营企业，与市工商联共同举办了“走进南仲”民营企业家座谈会，引导民营企业家学习运用仲裁方式保护合法权益。牵头与省市十余家单位联合举办“江苏（南京）仲裁法律制度宣传服务月”活动，深入金融、建设工程、涉外领域，举办专场活动十余场，，助力民营企业依法经营、高质量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第四，疫情防控中体现仲裁担当。在疫情防控工作中，办党组率先垂范，处级以上干部全部下沉一线，组成党员突击队，第一时间前往五台山、安怀村社区，出动83人次参与核酸检测录入任务，服务群众3万人次，出动182人次为社区开展持续一个月验码、测温等疫情防控工作。通过与驻地街道、支援街道的结对共建，全体党员改进工作作风、强化责任担当。为受疫情影响的企业减免缓部分仲裁费用，提供线上开庭服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二、拓展服务领域，仲裁主动融入市域社会治理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仲裁服务更智慧。疫情期间，全面上线了远程立案服务系统，方便当事人当日即可在线立案，上线四个月已受理案件175件，切实做到了“让群众少跑腿，让数据多跑路”。仲裁员云办案平台已在试运行阶段，仲裁员随时随地可以进行办公，将大大提升办案效率，更好服务企业和百姓。智慧仲裁项目正在积极建设中，将以更加高效、经济、开放的姿态改善人民群众的仲裁感受。</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是多元解纷挺在前。主动对接人民法院，在江北新区法院自由贸易区法庭综合服务大厅设立仲裁服务窗口，与南京海事法院达成合作共识，建立诉仲调联动化解纠纷对接机制。建立仲调对接机制，与市工商联联合设立“江苏（南京）国际商事仲裁中心南京市总商会调解中心”；我委被司法部、文化和旅游部确定为全国首批旅游投诉调解与仲裁衔接试点，正在积极推进旅游调解及仲裁衔接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是仲裁宣传点面结合。走进园区、硅巷，深入企业进行宣传，2021年已累计走访20余家省市重点企业及新经济新业态企业，通过座谈、面对面交流等方式送法上门，了解企业纠纷解决需求，现场提供法律咨询，分享仲裁典型案例、介绍仲裁制度。参与司法部与中央电视台联合制作纪录片《仲裁在中国》第二季拍摄工作，用翔实的人物、案例、故事，借更大的平台讲好南京仲裁故事，宣传南京法治营商环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是推进仲裁区域合作。牵头推动长三角区域与粤港澳大湾区仲裁机构多边合作，签署倡议书，共同推动仲裁事业发展，该项倡议获得司法部肯定和公开报道，现已率先实现庭室共享，方便当事人、仲裁员就近在南京参与远程庭审，让当事人可以“足不出户”跨地域高效解决纠纷。作为发起单位之一，积极助推长三角仲裁一体化，推荐、吸纳27家仲裁机构加入长三角仲裁一体化发展联盟，并在发展圆桌会议上作主题发言。与上海市律协仲裁业务研究委员会共同举办“长三角仲裁一体化发展调研会”，邀请省市律协共同参与，促进长三角仲裁行业共同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三、加强质效管理，人民群众仲裁满意度不断提升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积极响应群众需求。对20余家参与仲裁案件数多、标的额打的案件当事人及律所进行案件回访，对征集反映的问题及时整改，提高案件质效和服务水平。加大积案清理力度，成立积案清理领导小组督查催办积案，制定《积案清理实施方案》，实行挂图作战，确保按序时进度清理到位。响应当事人的实际需求，制定《仲裁笔录调取规定》，在确保仲裁保密的前提下，进一步便利当事人、提升仲裁满意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是持续加强廉政监督。梳理20项廉政风险点并对照出台防控措施，切实加强对权力运行廉政风险的预警防范。制定《首席、独任仲裁员库相关运行管理方案（试行）》，根据综合情况进行梳理，建立首席、独任仲裁员库。利用信息化手段进一步加大仲裁员推荐、指定的随机性。对2020年已审结案件及信访案件开展随机抽查，抽查结果作为仲裁员、仲裁秘书评优和年终绩效考核的重要参考依据。认真处理信访投诉，畅通信息反馈渠道，以问题为导向，查找差距不足，防范廉政风险。</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是不断加强队伍建设。举办新聘仲裁员专题培训，围绕仲裁员职业道德与办案规范、廉政风险防控、文书写作、仲裁程序管理进行了专题解读。通过线上线下相结合方式开展专题研讨、热点难点法律问题解读等讲座10余场。利用微课堂学习制度，加强工作人员学习的经常性和互动性，提升履职能力。三篇论文分别在2021年江苏省法学会金融法学与财税法学年会获一等奖、江苏省法学会工程法学研究会2021年年会获三等奖和中国仲裁法学研究会获优秀奖。另有2篇案例入选司法部编印的司法行政（法律服务）案例库。</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283"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rPr>
        <w:t>第二部分</w:t>
      </w:r>
    </w:p>
    <w:p>
      <w:pPr>
        <w:pStyle w:val="21"/>
        <w:widowControl w:val="0"/>
        <w:tabs>
          <w:tab w:val="left" w:pos="1609"/>
        </w:tabs>
        <w:suppressAutoHyphens/>
        <w:bidi w:val="0"/>
        <w:spacing w:before="12" w:after="0"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u w:val="none"/>
        </w:rPr>
        <w:t>南京仲裁委员会办公室</w:t>
      </w:r>
    </w:p>
    <w:p>
      <w:pPr>
        <w:pStyle w:val="21"/>
        <w:widowControl w:val="0"/>
        <w:tabs>
          <w:tab w:val="left" w:pos="1609"/>
        </w:tabs>
        <w:suppressAutoHyphens/>
        <w:bidi w:val="0"/>
        <w:spacing w:before="12" w:after="0"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2021</w:t>
      </w:r>
      <w:r>
        <w:rPr>
          <w:rFonts w:hint="eastAsia" w:ascii="宋体" w:hAnsi="宋体" w:eastAsia="宋体" w:cs="宋体"/>
          <w:b/>
          <w:bCs/>
          <w:sz w:val="36"/>
          <w:szCs w:val="36"/>
        </w:rPr>
        <w:t>年度</w:t>
      </w:r>
      <w:r>
        <w:rPr>
          <w:rFonts w:hint="eastAsia" w:ascii="宋体" w:hAnsi="宋体" w:eastAsia="宋体" w:cs="宋体"/>
          <w:b/>
          <w:bCs/>
          <w:sz w:val="36"/>
          <w:szCs w:val="36"/>
          <w:lang w:val="en-US" w:eastAsia="zh-CN"/>
        </w:rPr>
        <w:t>部门</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784"/>
        <w:gridCol w:w="1461"/>
        <w:gridCol w:w="2035"/>
        <w:gridCol w:w="1709"/>
        <w:gridCol w:w="1458"/>
      </w:tblGrid>
      <w:tr>
        <w:tblPrEx>
          <w:tblCellMar>
            <w:top w:w="0" w:type="dxa"/>
            <w:left w:w="108" w:type="dxa"/>
            <w:bottom w:w="0" w:type="dxa"/>
            <w:right w:w="108" w:type="dxa"/>
          </w:tblCellMar>
        </w:tblPrEx>
        <w:trPr>
          <w:trHeight w:val="544" w:hRule="atLeast"/>
          <w:jc w:val="center"/>
        </w:trPr>
        <w:tc>
          <w:tcPr>
            <w:tcW w:w="10447" w:type="dxa"/>
            <w:gridSpan w:val="5"/>
          </w:tcPr>
          <w:p>
            <w:pPr>
              <w:pageBreakBefore/>
              <w:widowControl w:val="0"/>
              <w:ind w:left="0" w:right="0" w:firstLine="0"/>
              <w:jc w:val="center"/>
              <w:textAlignment w:val="auto"/>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784" w:type="dxa"/>
          </w:tcPr>
          <w:p>
            <w:pPr>
              <w:widowControl w:val="0"/>
              <w:ind w:left="0" w:right="0" w:firstLine="0"/>
              <w:jc w:val="left"/>
              <w:textAlignment w:val="auto"/>
              <w:rPr>
                <w:rFonts w:hint="eastAsia" w:ascii="仿宋" w:hAnsi="仿宋" w:eastAsia="仿宋" w:cs="仿宋"/>
                <w:color w:val="000000"/>
                <w:sz w:val="20"/>
              </w:rPr>
            </w:pPr>
          </w:p>
        </w:tc>
        <w:tc>
          <w:tcPr>
            <w:tcW w:w="1461" w:type="dxa"/>
          </w:tcPr>
          <w:p>
            <w:pPr>
              <w:widowControl w:val="0"/>
              <w:ind w:left="0" w:right="0" w:firstLine="0"/>
              <w:jc w:val="left"/>
              <w:textAlignment w:val="auto"/>
              <w:rPr>
                <w:rFonts w:hint="eastAsia" w:ascii="仿宋" w:hAnsi="仿宋" w:eastAsia="仿宋" w:cs="仿宋"/>
                <w:color w:val="000000"/>
                <w:sz w:val="20"/>
              </w:rPr>
            </w:pPr>
          </w:p>
        </w:tc>
        <w:tc>
          <w:tcPr>
            <w:tcW w:w="5202" w:type="dxa"/>
            <w:gridSpan w:val="3"/>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color w:val="000000"/>
                <w:sz w:val="22"/>
                <w:szCs w:val="22"/>
                <w:lang w:eastAsia="ar-SA"/>
              </w:rPr>
              <w:t>南京仲裁委员会办公室</w:t>
            </w:r>
          </w:p>
        </w:tc>
        <w:tc>
          <w:tcPr>
            <w:tcW w:w="3167"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支出</w:t>
            </w:r>
          </w:p>
        </w:tc>
      </w:tr>
      <w:tr>
        <w:tblPrEx>
          <w:tblCellMar>
            <w:top w:w="0" w:type="dxa"/>
            <w:left w:w="108" w:type="dxa"/>
            <w:bottom w:w="0" w:type="dxa"/>
            <w:right w:w="108" w:type="dxa"/>
          </w:tblCellMar>
        </w:tblPrEx>
        <w:trPr>
          <w:trHeight w:val="39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ascii="仿宋" w:hAnsi="仿宋" w:eastAsia="仿宋" w:cs="仿宋"/>
                <w:color w:val="000000"/>
                <w:sz w:val="22"/>
              </w:rPr>
              <w:t>项目</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按功能分类</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2,202.02</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四、上级补助收入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1,995.06</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六、经营收入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32.34</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七、附属单位上缴收入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八、其他收入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79.38</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九、卫生健康支出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十、节能环保支出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十一、城乡社区支出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十二、农林水支出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十三、交通运输支出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十四、资源勘探工业信息等支出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十五、商业服务业等支出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十六、金融支出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十七、援助其他地区支出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十八、自然资源海洋气象等支出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十九、住房保障支出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224.28</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二十、粮油物资储备支出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二十一、国有资本经营预算支出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二十二、灾害防治及应急管理支出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二十三、其他支出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二十四、债务还本支出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二十五、债务付息支出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二十六、抗疫特别国债安排的支出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454" w:hRule="exac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2,202.02</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2,331.06</w:t>
            </w:r>
          </w:p>
        </w:tc>
      </w:tr>
      <w:tr>
        <w:tblPrEx>
          <w:tblCellMar>
            <w:top w:w="0" w:type="dxa"/>
            <w:left w:w="108" w:type="dxa"/>
            <w:bottom w:w="0" w:type="dxa"/>
            <w:right w:w="108" w:type="dxa"/>
          </w:tblCellMar>
        </w:tblPrEx>
        <w:trPr>
          <w:trHeight w:val="413"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使用非财政拨款结余</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结余分配</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413"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年初结转和结余</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129.04</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年末结转和结余</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383" w:hRule="atLeast"/>
          <w:jc w:val="center"/>
        </w:trPr>
        <w:tc>
          <w:tcPr>
            <w:tcW w:w="3784"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461"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3744" w:type="dxa"/>
            <w:gridSpan w:val="2"/>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458"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cantSplit/>
          <w:trHeight w:val="454" w:hRule="exac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2,331.06</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2,331.06</w:t>
            </w:r>
          </w:p>
        </w:tc>
      </w:tr>
    </w:tbl>
    <w:p>
      <w:pPr>
        <w:widowControl w:val="0"/>
        <w:suppressAutoHyphens/>
        <w:bidi w:val="0"/>
        <w:spacing w:before="66" w:after="0"/>
        <w:ind w:left="0" w:leftChars="0" w:right="0" w:rightChars="0" w:firstLine="0" w:firstLineChars="0"/>
        <w:jc w:val="both"/>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注：本表反映本年度的总收支和年末结转结余情况。本表金额单位转换时可能存在尾数误差。</w:t>
      </w:r>
    </w:p>
    <w:p>
      <w:pPr>
        <w:widowControl w:val="0"/>
        <w:suppressAutoHyphens/>
        <w:bidi w:val="0"/>
        <w:spacing w:before="66" w:after="0"/>
        <w:ind w:right="0"/>
        <w:jc w:val="both"/>
        <w:rPr>
          <w:rFonts w:hint="eastAsia" w:ascii="仿宋" w:hAnsi="仿宋" w:eastAsia="仿宋" w:cs="仿宋"/>
          <w:b w:val="0"/>
          <w:bCs w:val="0"/>
          <w:color w:val="000000"/>
          <w:sz w:val="22"/>
          <w:szCs w:val="22"/>
        </w:rPr>
        <w:sectPr>
          <w:footerReference r:id="rId8"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39" w:type="dxa"/>
        <w:jc w:val="center"/>
        <w:tblLayout w:type="fixed"/>
        <w:tblCellMar>
          <w:top w:w="0" w:type="dxa"/>
          <w:left w:w="108" w:type="dxa"/>
          <w:bottom w:w="0" w:type="dxa"/>
          <w:right w:w="108" w:type="dxa"/>
        </w:tblCellMar>
      </w:tblPr>
      <w:tblGrid>
        <w:gridCol w:w="1115"/>
        <w:gridCol w:w="2925"/>
        <w:gridCol w:w="1592"/>
        <w:gridCol w:w="1604"/>
        <w:gridCol w:w="1565"/>
        <w:gridCol w:w="1396"/>
        <w:gridCol w:w="1578"/>
        <w:gridCol w:w="1174"/>
        <w:gridCol w:w="1277"/>
        <w:gridCol w:w="1213"/>
      </w:tblGrid>
      <w:tr>
        <w:tblPrEx>
          <w:tblCellMar>
            <w:top w:w="0" w:type="dxa"/>
            <w:left w:w="108" w:type="dxa"/>
            <w:bottom w:w="0" w:type="dxa"/>
            <w:right w:w="108" w:type="dxa"/>
          </w:tblCellMar>
        </w:tblPrEx>
        <w:trPr>
          <w:trHeight w:val="627" w:hRule="atLeast"/>
          <w:jc w:val="center"/>
        </w:trPr>
        <w:tc>
          <w:tcPr>
            <w:tcW w:w="15439" w:type="dxa"/>
            <w:gridSpan w:val="10"/>
            <w:vAlign w:val="center"/>
          </w:tcPr>
          <w:p>
            <w:pPr>
              <w:pStyle w:val="5"/>
              <w:widowControl w:val="0"/>
              <w:rPr>
                <w:rFonts w:hint="eastAsia" w:ascii="仿宋" w:hAnsi="仿宋" w:eastAsia="仿宋" w:cs="仿宋"/>
                <w:b/>
                <w:bCs/>
                <w:sz w:val="44"/>
                <w:szCs w:val="44"/>
                <w:lang w:val="en-US" w:eastAsia="zh-CN"/>
              </w:rPr>
            </w:pPr>
            <w:r>
              <w:rPr>
                <w:rFonts w:hint="eastAsia" w:ascii="宋体" w:hAnsi="宋体" w:eastAsia="宋体" w:cs="宋体"/>
                <w:b/>
                <w:bCs/>
                <w:color w:val="000000"/>
                <w:kern w:val="0"/>
                <w:sz w:val="36"/>
                <w:szCs w:val="36"/>
                <w:lang w:val="zh-CN" w:eastAsia="ar-SA" w:bidi="zh-CN"/>
              </w:rPr>
              <w:t>收入决算表</w:t>
            </w:r>
          </w:p>
        </w:tc>
      </w:tr>
      <w:tr>
        <w:tblPrEx>
          <w:tblCellMar>
            <w:top w:w="0" w:type="dxa"/>
            <w:left w:w="108" w:type="dxa"/>
            <w:bottom w:w="0" w:type="dxa"/>
            <w:right w:w="108" w:type="dxa"/>
          </w:tblCellMar>
        </w:tblPrEx>
        <w:trPr>
          <w:trHeight w:val="314" w:hRule="atLeast"/>
          <w:jc w:val="center"/>
        </w:trPr>
        <w:tc>
          <w:tcPr>
            <w:tcW w:w="4040" w:type="dxa"/>
            <w:gridSpan w:val="2"/>
            <w:vAlign w:val="center"/>
          </w:tcPr>
          <w:p>
            <w:pPr>
              <w:pStyle w:val="22"/>
              <w:widowControl w:val="0"/>
              <w:jc w:val="center"/>
              <w:rPr>
                <w:rFonts w:hint="eastAsia" w:ascii="仿宋" w:hAnsi="仿宋" w:eastAsia="仿宋" w:cs="仿宋"/>
              </w:rPr>
            </w:pPr>
          </w:p>
        </w:tc>
        <w:tc>
          <w:tcPr>
            <w:tcW w:w="1592" w:type="dxa"/>
            <w:vAlign w:val="center"/>
          </w:tcPr>
          <w:p>
            <w:pPr>
              <w:pStyle w:val="22"/>
              <w:widowControl w:val="0"/>
              <w:jc w:val="center"/>
              <w:rPr>
                <w:rFonts w:hint="eastAsia" w:ascii="仿宋" w:hAnsi="仿宋" w:eastAsia="仿宋" w:cs="仿宋"/>
              </w:rPr>
            </w:pPr>
          </w:p>
        </w:tc>
        <w:tc>
          <w:tcPr>
            <w:tcW w:w="1604" w:type="dxa"/>
            <w:vAlign w:val="center"/>
          </w:tcPr>
          <w:p>
            <w:pPr>
              <w:pStyle w:val="22"/>
              <w:widowControl w:val="0"/>
              <w:jc w:val="center"/>
              <w:rPr>
                <w:rFonts w:hint="eastAsia" w:ascii="仿宋" w:hAnsi="仿宋" w:eastAsia="仿宋" w:cs="仿宋"/>
              </w:rPr>
            </w:pPr>
          </w:p>
        </w:tc>
        <w:tc>
          <w:tcPr>
            <w:tcW w:w="1565" w:type="dxa"/>
            <w:vAlign w:val="center"/>
          </w:tcPr>
          <w:p>
            <w:pPr>
              <w:pStyle w:val="22"/>
              <w:widowControl w:val="0"/>
              <w:jc w:val="center"/>
              <w:rPr>
                <w:rFonts w:hint="eastAsia" w:ascii="仿宋" w:hAnsi="仿宋" w:eastAsia="仿宋" w:cs="仿宋"/>
              </w:rPr>
            </w:pPr>
          </w:p>
        </w:tc>
        <w:tc>
          <w:tcPr>
            <w:tcW w:w="2974" w:type="dxa"/>
            <w:gridSpan w:val="2"/>
            <w:vAlign w:val="center"/>
          </w:tcPr>
          <w:p>
            <w:pPr>
              <w:pStyle w:val="22"/>
              <w:widowControl w:val="0"/>
              <w:jc w:val="center"/>
              <w:rPr>
                <w:rFonts w:hint="eastAsia" w:ascii="仿宋" w:hAnsi="仿宋" w:eastAsia="仿宋" w:cs="仿宋"/>
              </w:rPr>
            </w:pPr>
          </w:p>
        </w:tc>
        <w:tc>
          <w:tcPr>
            <w:tcW w:w="1174" w:type="dxa"/>
            <w:vAlign w:val="center"/>
          </w:tcPr>
          <w:p>
            <w:pPr>
              <w:pStyle w:val="22"/>
              <w:widowControl w:val="0"/>
              <w:jc w:val="center"/>
              <w:rPr>
                <w:rFonts w:hint="eastAsia" w:ascii="仿宋" w:hAnsi="仿宋" w:eastAsia="仿宋" w:cs="仿宋"/>
              </w:rPr>
            </w:pPr>
          </w:p>
        </w:tc>
        <w:tc>
          <w:tcPr>
            <w:tcW w:w="2490"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376" w:hRule="atLeast"/>
          <w:jc w:val="center"/>
        </w:trPr>
        <w:tc>
          <w:tcPr>
            <w:tcW w:w="12949" w:type="dxa"/>
            <w:gridSpan w:val="8"/>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南京仲裁委员会办公室</w:t>
            </w:r>
          </w:p>
        </w:tc>
        <w:tc>
          <w:tcPr>
            <w:tcW w:w="2490"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312" w:hRule="atLeast"/>
          <w:jc w:val="center"/>
        </w:trPr>
        <w:tc>
          <w:tcPr>
            <w:tcW w:w="404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w:t>
            </w:r>
          </w:p>
        </w:tc>
        <w:tc>
          <w:tcPr>
            <w:tcW w:w="1592"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本年收入合计</w:t>
            </w:r>
          </w:p>
        </w:tc>
        <w:tc>
          <w:tcPr>
            <w:tcW w:w="1604"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财政拨款收入</w:t>
            </w:r>
          </w:p>
        </w:tc>
        <w:tc>
          <w:tcPr>
            <w:tcW w:w="1565"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上级补助收入</w:t>
            </w:r>
          </w:p>
        </w:tc>
        <w:tc>
          <w:tcPr>
            <w:tcW w:w="1396"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财政专户管理教育收费</w:t>
            </w:r>
          </w:p>
        </w:tc>
        <w:tc>
          <w:tcPr>
            <w:tcW w:w="1578"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事业收入（不含专户管理教育收费）</w:t>
            </w:r>
          </w:p>
        </w:tc>
        <w:tc>
          <w:tcPr>
            <w:tcW w:w="1174"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经营收入</w:t>
            </w:r>
          </w:p>
        </w:tc>
        <w:tc>
          <w:tcPr>
            <w:tcW w:w="1277"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附属单位上缴收入</w:t>
            </w:r>
          </w:p>
        </w:tc>
        <w:tc>
          <w:tcPr>
            <w:tcW w:w="1213"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220" w:hRule="atLeast"/>
          <w:jc w:val="center"/>
        </w:trPr>
        <w:tc>
          <w:tcPr>
            <w:tcW w:w="111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9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592"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0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565"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96"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578"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17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277"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213"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0" w:type="dxa"/>
            <w:left w:w="108" w:type="dxa"/>
            <w:bottom w:w="0" w:type="dxa"/>
            <w:right w:w="108" w:type="dxa"/>
          </w:tblCellMar>
        </w:tblPrEx>
        <w:trPr>
          <w:cantSplit/>
          <w:trHeight w:val="432" w:hRule="exact"/>
          <w:jc w:val="center"/>
        </w:trPr>
        <w:tc>
          <w:tcPr>
            <w:tcW w:w="404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592"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2,202.02</w:t>
            </w:r>
          </w:p>
        </w:tc>
        <w:tc>
          <w:tcPr>
            <w:tcW w:w="160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2,202.02</w:t>
            </w:r>
          </w:p>
        </w:tc>
        <w:tc>
          <w:tcPr>
            <w:tcW w:w="1565"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396"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57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17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27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213"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公共安全支出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1,893.38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1,893.38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20406</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司法</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1,893.38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1,893.38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2040607</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公共法律服务</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1,893.38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1,893.38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科学技术支出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20699</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其他科学技术支出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2069999</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其他科学技术支出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社会保障和就业支出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行政事业单位养老支出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2080502</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事业单位离退休</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2080505</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机关事业单位基本养老保险缴费支出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2080506</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机关事业单位职业年金缴费支出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24.34</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24.34</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住房保障支出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住房改革支出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住房公积金</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2210202</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提租补贴</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158.63</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158.63</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suppressAutoHyphens/>
        <w:bidi w:val="0"/>
        <w:spacing w:before="66" w:after="0"/>
        <w:ind w:left="0" w:leftChars="0" w:right="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color w:val="000000"/>
          <w:sz w:val="22"/>
          <w:szCs w:val="22"/>
        </w:rPr>
        <w:t>注：</w:t>
      </w:r>
      <w:r>
        <w:rPr>
          <w:rFonts w:hint="eastAsia" w:ascii="仿宋" w:hAnsi="仿宋" w:eastAsia="仿宋" w:cs="仿宋"/>
          <w:b w:val="0"/>
          <w:bCs w:val="0"/>
          <w:sz w:val="22"/>
          <w:szCs w:val="22"/>
        </w:rPr>
        <w:t>本表反映本年度取得的各项收入情况。本表金额单位转换时可能存在尾数误差。</w:t>
      </w:r>
    </w:p>
    <w:p>
      <w:pPr>
        <w:widowControl w:val="0"/>
        <w:suppressAutoHyphens/>
        <w:bidi w:val="0"/>
        <w:spacing w:before="66" w:after="0"/>
        <w:ind w:left="57" w:right="0" w:firstLine="220" w:firstLineChars="100"/>
        <w:jc w:val="both"/>
        <w:rPr>
          <w:rFonts w:hint="eastAsia" w:ascii="仿宋" w:hAnsi="仿宋" w:eastAsia="仿宋" w:cs="仿宋"/>
          <w:b w:val="0"/>
          <w:bCs w:val="0"/>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4183"/>
        <w:gridCol w:w="2011"/>
        <w:gridCol w:w="1486"/>
        <w:gridCol w:w="1564"/>
        <w:gridCol w:w="1593"/>
        <w:gridCol w:w="1472"/>
        <w:gridCol w:w="1482"/>
      </w:tblGrid>
      <w:tr>
        <w:trPr>
          <w:trHeight w:val="341" w:hRule="atLeast"/>
        </w:trPr>
        <w:tc>
          <w:tcPr>
            <w:tcW w:w="15347" w:type="dxa"/>
            <w:gridSpan w:val="8"/>
            <w:vAlign w:val="center"/>
          </w:tcPr>
          <w:p>
            <w:pPr>
              <w:pStyle w:val="5"/>
              <w:widowControl w:val="0"/>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支出决算表</w:t>
            </w:r>
          </w:p>
        </w:tc>
      </w:tr>
      <w:tr>
        <w:tblPrEx>
          <w:tblCellMar>
            <w:top w:w="55" w:type="dxa"/>
            <w:left w:w="55" w:type="dxa"/>
            <w:bottom w:w="55" w:type="dxa"/>
            <w:right w:w="55" w:type="dxa"/>
          </w:tblCellMar>
        </w:tblPrEx>
        <w:trPr>
          <w:trHeight w:val="321" w:hRule="atLeast"/>
        </w:trPr>
        <w:tc>
          <w:tcPr>
            <w:tcW w:w="5739" w:type="dxa"/>
            <w:gridSpan w:val="2"/>
            <w:vAlign w:val="center"/>
          </w:tcPr>
          <w:p>
            <w:pPr>
              <w:pStyle w:val="22"/>
              <w:widowControl w:val="0"/>
              <w:jc w:val="center"/>
              <w:rPr>
                <w:rFonts w:hint="eastAsia" w:ascii="仿宋" w:hAnsi="仿宋" w:eastAsia="仿宋" w:cs="仿宋"/>
              </w:rPr>
            </w:pPr>
          </w:p>
        </w:tc>
        <w:tc>
          <w:tcPr>
            <w:tcW w:w="2011" w:type="dxa"/>
            <w:vAlign w:val="center"/>
          </w:tcPr>
          <w:p>
            <w:pPr>
              <w:pStyle w:val="22"/>
              <w:widowControl w:val="0"/>
              <w:spacing w:before="0" w:after="0"/>
              <w:ind w:firstLine="0"/>
              <w:jc w:val="center"/>
              <w:rPr>
                <w:rFonts w:hint="eastAsia" w:ascii="仿宋" w:hAnsi="仿宋" w:eastAsia="仿宋" w:cs="仿宋"/>
                <w:sz w:val="20"/>
              </w:rPr>
            </w:pPr>
          </w:p>
        </w:tc>
        <w:tc>
          <w:tcPr>
            <w:tcW w:w="1486" w:type="dxa"/>
            <w:vAlign w:val="center"/>
          </w:tcPr>
          <w:p>
            <w:pPr>
              <w:pStyle w:val="22"/>
              <w:widowControl w:val="0"/>
              <w:spacing w:before="0" w:after="0"/>
              <w:ind w:firstLine="0"/>
              <w:jc w:val="center"/>
              <w:rPr>
                <w:rFonts w:hint="eastAsia" w:ascii="仿宋" w:hAnsi="仿宋" w:eastAsia="仿宋" w:cs="仿宋"/>
                <w:sz w:val="20"/>
              </w:rPr>
            </w:pPr>
          </w:p>
        </w:tc>
        <w:tc>
          <w:tcPr>
            <w:tcW w:w="1564" w:type="dxa"/>
            <w:vAlign w:val="center"/>
          </w:tcPr>
          <w:p>
            <w:pPr>
              <w:pStyle w:val="22"/>
              <w:widowControl w:val="0"/>
              <w:spacing w:before="0" w:after="0"/>
              <w:ind w:firstLine="0"/>
              <w:jc w:val="center"/>
              <w:rPr>
                <w:rFonts w:hint="eastAsia" w:ascii="仿宋" w:hAnsi="仿宋" w:eastAsia="仿宋" w:cs="仿宋"/>
                <w:sz w:val="20"/>
              </w:rPr>
            </w:pPr>
          </w:p>
        </w:tc>
        <w:tc>
          <w:tcPr>
            <w:tcW w:w="1593" w:type="dxa"/>
            <w:vAlign w:val="center"/>
          </w:tcPr>
          <w:p>
            <w:pPr>
              <w:pStyle w:val="22"/>
              <w:widowControl w:val="0"/>
              <w:spacing w:before="0" w:after="0"/>
              <w:ind w:firstLine="0"/>
              <w:jc w:val="center"/>
              <w:rPr>
                <w:rFonts w:hint="eastAsia" w:ascii="仿宋" w:hAnsi="仿宋" w:eastAsia="仿宋" w:cs="仿宋"/>
                <w:sz w:val="20"/>
              </w:rPr>
            </w:pPr>
          </w:p>
        </w:tc>
        <w:tc>
          <w:tcPr>
            <w:tcW w:w="2954"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2393" w:type="dxa"/>
            <w:gridSpan w:val="6"/>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南京仲裁委员会办公室</w:t>
            </w:r>
          </w:p>
        </w:tc>
        <w:tc>
          <w:tcPr>
            <w:tcW w:w="2954"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321" w:hRule="atLeast"/>
        </w:trPr>
        <w:tc>
          <w:tcPr>
            <w:tcW w:w="5739"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kern w:val="0"/>
                <w:sz w:val="22"/>
                <w:szCs w:val="22"/>
              </w:rPr>
              <w:t>项目</w:t>
            </w:r>
          </w:p>
        </w:tc>
        <w:tc>
          <w:tcPr>
            <w:tcW w:w="2011"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本年支出合计</w:t>
            </w:r>
          </w:p>
        </w:tc>
        <w:tc>
          <w:tcPr>
            <w:tcW w:w="1486"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564"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593"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472"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经营支出</w:t>
            </w:r>
          </w:p>
        </w:tc>
        <w:tc>
          <w:tcPr>
            <w:tcW w:w="1482"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0" w:hRule="atLeast"/>
        </w:trPr>
        <w:tc>
          <w:tcPr>
            <w:tcW w:w="1556"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kern w:val="0"/>
                <w:sz w:val="22"/>
                <w:szCs w:val="22"/>
              </w:rPr>
            </w:pPr>
            <w:r>
              <w:rPr>
                <w:rFonts w:hint="eastAsia" w:ascii="仿宋" w:hAnsi="仿宋" w:eastAsia="仿宋" w:cs="仿宋"/>
                <w:kern w:val="0"/>
                <w:sz w:val="22"/>
                <w:szCs w:val="22"/>
              </w:rPr>
              <w:t>功能分类</w:t>
            </w:r>
          </w:p>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4183"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科目名称</w:t>
            </w:r>
          </w:p>
        </w:tc>
        <w:tc>
          <w:tcPr>
            <w:tcW w:w="2011"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86"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564"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593"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72"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82" w:type="dxa"/>
            <w:vMerge w:val="continue"/>
            <w:tcBorders>
              <w:left w:val="single" w:color="000000" w:sz="4" w:space="0"/>
              <w:bottom w:val="single" w:color="000000" w:sz="4" w:space="0"/>
              <w:right w:val="single" w:color="000000" w:sz="4" w:space="0"/>
            </w:tcBorders>
          </w:tcPr>
          <w:p>
            <w:pPr>
              <w:widowControl w:val="0"/>
              <w:spacing w:before="0" w:after="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403" w:hRule="exact"/>
        </w:trPr>
        <w:tc>
          <w:tcPr>
            <w:tcW w:w="573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2011"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2,331.06</w:t>
            </w:r>
          </w:p>
        </w:tc>
        <w:tc>
          <w:tcPr>
            <w:tcW w:w="1486"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981.47</w:t>
            </w:r>
          </w:p>
        </w:tc>
        <w:tc>
          <w:tcPr>
            <w:tcW w:w="156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1,349.59</w:t>
            </w:r>
          </w:p>
        </w:tc>
        <w:tc>
          <w:tcPr>
            <w:tcW w:w="1593"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472"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482"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公共安全支出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1,995.06</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677.82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1,317.25</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20406</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司法</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1,995.06</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677.82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1,317.25</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2040607</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公共法律服务</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1,995.06</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677.82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1,317.25</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206</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科学技术支出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32.34</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32.34</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20699</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其他科学技术支出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32.34</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32.34</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2069999</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其他科学技术支出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32.34</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32.34</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社会保障和就业支出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79.38</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79.38</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行政事业单位养老支出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79.38</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79.38</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2080502</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事业单位离退休</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6.35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6.35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2080505</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机关事业单位基本养老保险缴费支出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48.69</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48.69</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2080506</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机关事业单位职业年金缴费支出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24.34</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24.34</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住房保障支出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224.28</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224.28</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住房改革支出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224.28</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224.28</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住房公积金</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65.65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65.65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2210202</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提租补贴</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158.63</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158.63</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bl>
    <w:p>
      <w:pPr>
        <w:widowControl w:val="0"/>
        <w:suppressAutoHyphens/>
        <w:bidi w:val="0"/>
        <w:spacing w:before="59" w:after="0"/>
        <w:ind w:left="0" w:leftChars="0" w:right="0" w:firstLine="0" w:firstLineChars="0"/>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注：本表反映本年度各项支出情况。本表金额单位转换时可能存在尾数误差。</w:t>
      </w:r>
    </w:p>
    <w:p>
      <w:pPr>
        <w:widowControl w:val="0"/>
        <w:suppressAutoHyphens/>
        <w:bidi w:val="0"/>
        <w:spacing w:before="59" w:after="0"/>
        <w:ind w:left="57" w:right="0" w:firstLine="0"/>
        <w:jc w:val="left"/>
        <w:rPr>
          <w:rFonts w:hint="eastAsia" w:ascii="仿宋" w:hAnsi="仿宋" w:eastAsia="仿宋" w:cs="仿宋"/>
          <w:b w:val="0"/>
          <w:bCs w:val="0"/>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rPr>
          <w:trHeight w:val="319" w:hRule="atLeast"/>
        </w:trPr>
        <w:tc>
          <w:tcPr>
            <w:tcW w:w="15372" w:type="dxa"/>
            <w:gridSpan w:val="10"/>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widowControl w:val="0"/>
              <w:rPr>
                <w:rFonts w:hint="eastAsia" w:ascii="仿宋" w:hAnsi="仿宋" w:eastAsia="仿宋" w:cs="仿宋"/>
                <w:sz w:val="20"/>
              </w:rPr>
            </w:pPr>
          </w:p>
        </w:tc>
        <w:tc>
          <w:tcPr>
            <w:tcW w:w="847" w:type="dxa"/>
          </w:tcPr>
          <w:p>
            <w:pPr>
              <w:pStyle w:val="22"/>
              <w:widowControl w:val="0"/>
              <w:rPr>
                <w:rFonts w:hint="eastAsia" w:ascii="仿宋" w:hAnsi="仿宋" w:eastAsia="仿宋" w:cs="仿宋"/>
                <w:sz w:val="20"/>
              </w:rPr>
            </w:pPr>
          </w:p>
        </w:tc>
        <w:tc>
          <w:tcPr>
            <w:tcW w:w="1913" w:type="dxa"/>
          </w:tcPr>
          <w:p>
            <w:pPr>
              <w:pStyle w:val="22"/>
              <w:widowControl w:val="0"/>
              <w:rPr>
                <w:rFonts w:hint="eastAsia" w:ascii="仿宋" w:hAnsi="仿宋" w:eastAsia="仿宋" w:cs="仿宋"/>
                <w:sz w:val="20"/>
              </w:rPr>
            </w:pPr>
          </w:p>
        </w:tc>
        <w:tc>
          <w:tcPr>
            <w:tcW w:w="2635" w:type="dxa"/>
            <w:gridSpan w:val="2"/>
          </w:tcPr>
          <w:p>
            <w:pPr>
              <w:pStyle w:val="22"/>
              <w:widowControl w:val="0"/>
              <w:rPr>
                <w:rFonts w:hint="eastAsia" w:ascii="仿宋" w:hAnsi="仿宋" w:eastAsia="仿宋" w:cs="仿宋"/>
                <w:sz w:val="20"/>
              </w:rPr>
            </w:pPr>
          </w:p>
        </w:tc>
        <w:tc>
          <w:tcPr>
            <w:tcW w:w="1194" w:type="dxa"/>
          </w:tcPr>
          <w:p>
            <w:pPr>
              <w:pStyle w:val="22"/>
              <w:widowControl w:val="0"/>
              <w:rPr>
                <w:rFonts w:hint="eastAsia" w:ascii="仿宋" w:hAnsi="仿宋" w:eastAsia="仿宋" w:cs="仿宋"/>
                <w:sz w:val="20"/>
              </w:rPr>
            </w:pP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sz w:val="22"/>
                <w:szCs w:val="22"/>
              </w:rPr>
              <w:t>南京仲裁委员会办公室</w:t>
            </w: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收</w:t>
            </w:r>
            <w:r>
              <w:rPr>
                <w:rFonts w:hint="eastAsia" w:ascii="仿宋" w:hAnsi="仿宋" w:eastAsia="仿宋" w:cs="仿宋"/>
                <w:sz w:val="22"/>
                <w:szCs w:val="22"/>
              </w:rPr>
              <w:tab/>
            </w:r>
            <w:r>
              <w:rPr>
                <w:rFonts w:hint="eastAsia" w:ascii="仿宋" w:hAnsi="仿宋" w:eastAsia="仿宋" w:cs="仿宋"/>
                <w:sz w:val="22"/>
                <w:szCs w:val="22"/>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支</w:t>
            </w:r>
            <w:r>
              <w:rPr>
                <w:rFonts w:hint="eastAsia" w:ascii="仿宋" w:hAnsi="仿宋" w:eastAsia="仿宋" w:cs="仿宋"/>
                <w:sz w:val="22"/>
                <w:szCs w:val="22"/>
              </w:rPr>
              <w:tab/>
            </w:r>
            <w:r>
              <w:rPr>
                <w:rFonts w:hint="eastAsia" w:ascii="仿宋" w:hAnsi="仿宋" w:eastAsia="仿宋" w:cs="仿宋"/>
                <w:sz w:val="22"/>
                <w:szCs w:val="22"/>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1837"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c>
          <w:tcPr>
            <w:tcW w:w="3667" w:type="dxa"/>
            <w:gridSpan w:val="3"/>
            <w:vMerge w:val="restart"/>
            <w:tcBorders>
              <w:left w:val="single" w:color="000000" w:sz="4" w:space="0"/>
              <w:bottom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按功能分类</w:t>
            </w:r>
          </w:p>
        </w:tc>
        <w:tc>
          <w:tcPr>
            <w:tcW w:w="6143" w:type="dxa"/>
            <w:gridSpan w:val="5"/>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837"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3667" w:type="dxa"/>
            <w:gridSpan w:val="3"/>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小计</w:t>
            </w:r>
          </w:p>
        </w:tc>
        <w:tc>
          <w:tcPr>
            <w:tcW w:w="14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一般公共预算财政拨款</w:t>
            </w:r>
          </w:p>
        </w:tc>
        <w:tc>
          <w:tcPr>
            <w:tcW w:w="15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2,202.02</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1,995.06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1,995.06</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32.34</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79.38</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224.28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224.28</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359" w:hRule="exact"/>
        </w:trPr>
        <w:tc>
          <w:tcPr>
            <w:tcW w:w="3725" w:type="dxa"/>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本年收入合计</w:t>
            </w:r>
          </w:p>
        </w:tc>
        <w:tc>
          <w:tcPr>
            <w:tcW w:w="1837"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2,202.02</w:t>
            </w:r>
          </w:p>
        </w:tc>
        <w:tc>
          <w:tcPr>
            <w:tcW w:w="3667"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本年支出合计</w:t>
            </w:r>
          </w:p>
        </w:tc>
        <w:tc>
          <w:tcPr>
            <w:tcW w:w="1728"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2,331.06</w:t>
            </w:r>
          </w:p>
        </w:tc>
        <w:tc>
          <w:tcPr>
            <w:tcW w:w="1415" w:type="dxa"/>
            <w:gridSpan w:val="2"/>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2,331.06</w:t>
            </w:r>
          </w:p>
        </w:tc>
        <w:tc>
          <w:tcPr>
            <w:tcW w:w="1500"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年初财政拨款结转和结余</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129.04</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年末财政拨款结转和结余</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129.04</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cantSplit/>
          <w:trHeight w:val="322" w:hRule="exact"/>
        </w:trPr>
        <w:tc>
          <w:tcPr>
            <w:tcW w:w="37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83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2,331.06</w:t>
            </w:r>
          </w:p>
        </w:tc>
        <w:tc>
          <w:tcPr>
            <w:tcW w:w="366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2,331.06</w:t>
            </w:r>
          </w:p>
        </w:tc>
        <w:tc>
          <w:tcPr>
            <w:tcW w:w="1415" w:type="dxa"/>
            <w:gridSpan w:val="2"/>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2,331.06</w:t>
            </w:r>
          </w:p>
        </w:tc>
        <w:tc>
          <w:tcPr>
            <w:tcW w:w="150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ind w:left="0" w:leftChars="0" w:firstLine="0" w:firstLineChars="0"/>
        <w:jc w:val="both"/>
        <w:rPr>
          <w:rFonts w:hint="eastAsia" w:ascii="仿宋" w:hAnsi="仿宋" w:eastAsia="仿宋" w:cs="仿宋"/>
          <w:b w:val="0"/>
          <w:bCs w:val="0"/>
        </w:rPr>
      </w:pPr>
      <w:r>
        <w:rPr>
          <w:rFonts w:hint="eastAsia" w:ascii="仿宋" w:hAnsi="仿宋" w:eastAsia="仿宋" w:cs="仿宋"/>
          <w:b w:val="0"/>
          <w:bCs w:val="0"/>
          <w:lang w:val="en-US" w:eastAsia="zh-CN"/>
        </w:rPr>
        <w:t>注：</w:t>
      </w:r>
      <w:r>
        <w:rPr>
          <w:rFonts w:hint="eastAsia" w:ascii="仿宋" w:hAnsi="仿宋" w:eastAsia="仿宋" w:cs="仿宋"/>
          <w:b w:val="0"/>
          <w:bCs w:val="0"/>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b w:val="0"/>
          <w:bCs w:val="0"/>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widowControl w:val="0"/>
              <w:rPr>
                <w:rFonts w:hint="eastAsia" w:ascii="仿宋" w:hAnsi="仿宋" w:eastAsia="仿宋" w:cs="仿宋"/>
                <w:sz w:val="20"/>
              </w:rPr>
            </w:pPr>
          </w:p>
        </w:tc>
        <w:tc>
          <w:tcPr>
            <w:tcW w:w="3184" w:type="dxa"/>
          </w:tcPr>
          <w:p>
            <w:pPr>
              <w:pStyle w:val="22"/>
              <w:widowControl w:val="0"/>
              <w:rPr>
                <w:rFonts w:hint="eastAsia" w:ascii="仿宋" w:hAnsi="仿宋" w:eastAsia="仿宋" w:cs="仿宋"/>
                <w:sz w:val="27"/>
              </w:rPr>
            </w:pPr>
          </w:p>
        </w:tc>
        <w:tc>
          <w:tcPr>
            <w:tcW w:w="5933" w:type="dxa"/>
            <w:gridSpan w:val="2"/>
            <w:vAlign w:val="center"/>
          </w:tcPr>
          <w:p>
            <w:pPr>
              <w:pStyle w:val="22"/>
              <w:widowControl w:val="0"/>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南京仲裁委员会办公室</w:t>
            </w:r>
          </w:p>
        </w:tc>
        <w:tc>
          <w:tcPr>
            <w:tcW w:w="3184" w:type="dxa"/>
          </w:tcPr>
          <w:p>
            <w:pPr>
              <w:pStyle w:val="22"/>
              <w:widowControl w:val="0"/>
              <w:rPr>
                <w:rFonts w:hint="eastAsia" w:ascii="仿宋" w:hAnsi="仿宋" w:eastAsia="仿宋" w:cs="仿宋"/>
                <w:sz w:val="27"/>
              </w:rPr>
            </w:pPr>
          </w:p>
        </w:tc>
        <w:tc>
          <w:tcPr>
            <w:tcW w:w="2778" w:type="dxa"/>
            <w:vAlign w:val="center"/>
          </w:tcPr>
          <w:p>
            <w:pPr>
              <w:pStyle w:val="22"/>
              <w:widowControl w:val="0"/>
              <w:jc w:val="right"/>
              <w:rPr>
                <w:rFonts w:hint="eastAsia" w:ascii="仿宋" w:hAnsi="仿宋" w:eastAsia="仿宋" w:cs="仿宋"/>
                <w:sz w:val="27"/>
              </w:rPr>
            </w:pPr>
          </w:p>
        </w:tc>
        <w:tc>
          <w:tcPr>
            <w:tcW w:w="3155"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184"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功能分类</w:t>
            </w:r>
          </w:p>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502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184"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2778"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3155"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栏次</w:t>
            </w:r>
          </w:p>
        </w:tc>
        <w:tc>
          <w:tcPr>
            <w:tcW w:w="318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1</w:t>
            </w:r>
          </w:p>
        </w:tc>
        <w:tc>
          <w:tcPr>
            <w:tcW w:w="27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2</w:t>
            </w:r>
          </w:p>
        </w:tc>
        <w:tc>
          <w:tcPr>
            <w:tcW w:w="3155"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184"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2,331.06</w:t>
            </w:r>
          </w:p>
        </w:tc>
        <w:tc>
          <w:tcPr>
            <w:tcW w:w="2778"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rPr>
              <w:t>981.47</w:t>
            </w:r>
          </w:p>
        </w:tc>
        <w:tc>
          <w:tcPr>
            <w:tcW w:w="3155"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1,349.59</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1,995.06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677.82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1,317.25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司法</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1,995.06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677.82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1,317.25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2040607</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公共法律服务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1,995.06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677.82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1,317.25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224.28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224.28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224.28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224.28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158.63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158.63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tabs>
          <w:tab w:val="left" w:pos="0"/>
        </w:tabs>
        <w:suppressAutoHyphens/>
        <w:bidi w:val="0"/>
        <w:spacing w:before="0" w:after="0"/>
        <w:ind w:left="0" w:leftChars="0" w:right="0" w:firstLine="0" w:firstLineChars="0"/>
        <w:jc w:val="both"/>
        <w:rPr>
          <w:rFonts w:hint="eastAsia" w:ascii="仿宋" w:hAnsi="仿宋" w:eastAsia="仿宋" w:cs="仿宋"/>
          <w:b w:val="0"/>
          <w:bCs w:val="0"/>
        </w:rPr>
      </w:pPr>
      <w:r>
        <w:rPr>
          <w:rFonts w:hint="eastAsia" w:ascii="仿宋" w:hAnsi="仿宋" w:eastAsia="仿宋" w:cs="仿宋"/>
          <w:b w:val="0"/>
          <w:bCs w:val="0"/>
        </w:rPr>
        <w:t>注：本表反映本年度一般公共预算财政拨款、政府性基金预算财政拨款和国有资本经营预算财政拨款支出情况。本表金额单位转换时可能存在尾数误差。</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val="0"/>
          <w:bCs w:val="0"/>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widowControl w:val="0"/>
              <w:rPr>
                <w:rFonts w:hint="eastAsia" w:ascii="仿宋" w:hAnsi="仿宋" w:eastAsia="仿宋" w:cs="仿宋"/>
                <w:sz w:val="20"/>
              </w:rPr>
            </w:pPr>
          </w:p>
        </w:tc>
        <w:tc>
          <w:tcPr>
            <w:tcW w:w="2047" w:type="dxa"/>
          </w:tcPr>
          <w:p>
            <w:pPr>
              <w:pStyle w:val="22"/>
              <w:widowControl w:val="0"/>
              <w:rPr>
                <w:rFonts w:hint="eastAsia" w:ascii="仿宋" w:hAnsi="仿宋" w:eastAsia="仿宋" w:cs="仿宋"/>
                <w:sz w:val="20"/>
              </w:rPr>
            </w:pPr>
          </w:p>
        </w:tc>
        <w:tc>
          <w:tcPr>
            <w:tcW w:w="2040" w:type="dxa"/>
          </w:tcPr>
          <w:p>
            <w:pPr>
              <w:pStyle w:val="22"/>
              <w:widowControl w:val="0"/>
              <w:rPr>
                <w:rFonts w:hint="eastAsia" w:ascii="仿宋" w:hAnsi="仿宋" w:eastAsia="仿宋" w:cs="仿宋"/>
                <w:sz w:val="20"/>
              </w:rPr>
            </w:pP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sz w:val="22"/>
                <w:szCs w:val="22"/>
              </w:rPr>
              <w:t>南京仲裁委员会办公室</w:t>
            </w: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981.47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895.42</w:t>
            </w:r>
          </w:p>
        </w:tc>
        <w:tc>
          <w:tcPr>
            <w:tcW w:w="189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86.05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888.11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275.99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203.33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86.05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tabs>
          <w:tab w:val="left" w:pos="660"/>
          <w:tab w:val="left" w:pos="10780"/>
        </w:tabs>
        <w:suppressAutoHyphens/>
        <w:bidi w:val="0"/>
        <w:spacing w:before="25" w:after="0" w:line="290" w:lineRule="auto"/>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注：本表反映本年度一般公共预算财政拨款、政府性基金预算财政拨款和国有资本经营预算财政拨款基本支出情况。本表金额单位转换时可能存在尾数误差。</w:t>
      </w:r>
    </w:p>
    <w:p>
      <w:pPr>
        <w:widowControl w:val="0"/>
        <w:numPr>
          <w:ilvl w:val="0"/>
          <w:numId w:val="0"/>
        </w:numPr>
        <w:suppressAutoHyphens/>
        <w:bidi w:val="0"/>
        <w:spacing w:before="0" w:after="0" w:line="255" w:lineRule="exact"/>
        <w:jc w:val="both"/>
        <w:rPr>
          <w:rFonts w:hint="eastAsia" w:ascii="仿宋" w:hAnsi="仿宋" w:eastAsia="仿宋" w:cs="仿宋"/>
          <w:b w:val="0"/>
          <w:bCs w:val="0"/>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rPr>
          <w:trHeight w:val="560" w:hRule="atLeast"/>
        </w:trPr>
        <w:tc>
          <w:tcPr>
            <w:tcW w:w="10446"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widowControl w:val="0"/>
              <w:rPr>
                <w:rFonts w:hint="eastAsia" w:ascii="仿宋" w:hAnsi="仿宋" w:eastAsia="仿宋" w:cs="仿宋"/>
                <w:sz w:val="20"/>
              </w:rPr>
            </w:pPr>
          </w:p>
        </w:tc>
        <w:tc>
          <w:tcPr>
            <w:tcW w:w="1969" w:type="dxa"/>
          </w:tcPr>
          <w:p>
            <w:pPr>
              <w:pStyle w:val="22"/>
              <w:widowControl w:val="0"/>
              <w:rPr>
                <w:rFonts w:hint="eastAsia" w:ascii="仿宋" w:hAnsi="仿宋" w:eastAsia="仿宋" w:cs="仿宋"/>
                <w:sz w:val="20"/>
              </w:rPr>
            </w:pPr>
          </w:p>
        </w:tc>
        <w:tc>
          <w:tcPr>
            <w:tcW w:w="1499" w:type="dxa"/>
          </w:tcPr>
          <w:p>
            <w:pPr>
              <w:pStyle w:val="22"/>
              <w:widowControl w:val="0"/>
              <w:rPr>
                <w:rFonts w:hint="eastAsia" w:ascii="仿宋" w:hAnsi="仿宋" w:eastAsia="仿宋" w:cs="仿宋"/>
                <w:sz w:val="20"/>
              </w:rPr>
            </w:pPr>
          </w:p>
        </w:tc>
        <w:tc>
          <w:tcPr>
            <w:tcW w:w="1512"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南京仲裁委员会办公室</w:t>
            </w:r>
          </w:p>
        </w:tc>
        <w:tc>
          <w:tcPr>
            <w:tcW w:w="3011" w:type="dxa"/>
            <w:gridSpan w:val="2"/>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2,331.06</w:t>
            </w:r>
          </w:p>
        </w:tc>
        <w:tc>
          <w:tcPr>
            <w:tcW w:w="149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981.47</w:t>
            </w:r>
          </w:p>
        </w:tc>
        <w:tc>
          <w:tcPr>
            <w:tcW w:w="1512" w:type="dxa"/>
            <w:tcBorders>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1,349.59</w:t>
            </w:r>
          </w:p>
        </w:tc>
      </w:tr>
      <w:tr>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1,995.06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677.82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1,317.25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司法</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1,995.06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677.82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1,317.25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2040607</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公共法律服务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1,995.06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677.82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1,317.25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32.34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32.34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20699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32.34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32.34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2069999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32.34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32.34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158.63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158.63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bl>
    <w:p>
      <w:pPr>
        <w:tabs>
          <w:tab w:val="left" w:pos="0"/>
        </w:tabs>
        <w:spacing w:before="25" w:after="0"/>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widowControl w:val="0"/>
              <w:jc w:val="right"/>
              <w:rPr>
                <w:rFonts w:hint="eastAsia" w:ascii="仿宋" w:hAnsi="仿宋" w:eastAsia="仿宋" w:cs="仿宋"/>
                <w:color w:val="000000"/>
                <w:sz w:val="22"/>
                <w:szCs w:val="22"/>
                <w:lang w:eastAsia="zh-CN"/>
              </w:rPr>
            </w:pPr>
          </w:p>
        </w:tc>
        <w:tc>
          <w:tcPr>
            <w:tcW w:w="1878" w:type="dxa"/>
            <w:vAlign w:val="center"/>
          </w:tcPr>
          <w:p>
            <w:pPr>
              <w:pStyle w:val="22"/>
              <w:widowControl w:val="0"/>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南京仲裁委员会办公室</w:t>
            </w:r>
          </w:p>
        </w:tc>
        <w:tc>
          <w:tcPr>
            <w:tcW w:w="1878"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981.47</w:t>
            </w:r>
          </w:p>
        </w:tc>
        <w:tc>
          <w:tcPr>
            <w:tcW w:w="170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895.42</w:t>
            </w:r>
          </w:p>
        </w:tc>
        <w:tc>
          <w:tcPr>
            <w:tcW w:w="187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86.05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888.11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888.11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275.99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275.99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203.33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203.33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86.05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86.05</w:t>
            </w: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w:t>
            </w: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22.74</w:t>
            </w: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0.49</w:t>
            </w: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w:t>
            </w: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25.72</w:t>
            </w: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spacing w:before="25" w:after="0"/>
        <w:ind w:left="0" w:leftChars="0" w:right="-92" w:rightChars="-42"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注：本表反映本年度一般公共预算财政拨款基本支出情况。本表金额单位转换时可能存在尾数误差。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rPr>
          <w:trHeight w:val="321" w:hRule="atLeast"/>
        </w:trPr>
        <w:tc>
          <w:tcPr>
            <w:tcW w:w="16486" w:type="dxa"/>
            <w:gridSpan w:val="16"/>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一般公共预算“三公”经费、会议费、培训费支出决算表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widowControl w:val="0"/>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南京仲裁委员会办公室</w:t>
            </w:r>
          </w:p>
        </w:tc>
        <w:tc>
          <w:tcPr>
            <w:tcW w:w="8274" w:type="dxa"/>
            <w:gridSpan w:val="8"/>
            <w:tcBorders>
              <w:bottom w:val="single" w:color="auto" w:sz="4" w:space="0"/>
            </w:tcBorders>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rPr>
            </w:pPr>
            <w:r>
              <w:rPr>
                <w:rFonts w:hint="eastAsia" w:ascii="仿宋" w:hAnsi="仿宋" w:eastAsia="仿宋" w:cs="仿宋"/>
                <w:lang w:val="en-US" w:eastAsia="zh-CN"/>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widowControl w:val="0"/>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r>
      <w:tr>
        <w:trPr>
          <w:cantSplit/>
          <w:trHeight w:val="380" w:hRule="atLeast"/>
        </w:trPr>
        <w:tc>
          <w:tcPr>
            <w:tcW w:w="104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7.36</w:t>
            </w:r>
          </w:p>
        </w:tc>
        <w:tc>
          <w:tcPr>
            <w:tcW w:w="104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6.16</w:t>
            </w:r>
          </w:p>
        </w:tc>
        <w:tc>
          <w:tcPr>
            <w:tcW w:w="102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6.16</w:t>
            </w:r>
          </w:p>
        </w:tc>
        <w:tc>
          <w:tcPr>
            <w:tcW w:w="102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1.20</w:t>
            </w:r>
          </w:p>
        </w:tc>
        <w:tc>
          <w:tcPr>
            <w:tcW w:w="104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1.60</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4.30</w:t>
            </w:r>
          </w:p>
        </w:tc>
        <w:tc>
          <w:tcPr>
            <w:tcW w:w="10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3.93</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3.25</w:t>
            </w:r>
          </w:p>
        </w:tc>
        <w:tc>
          <w:tcPr>
            <w:tcW w:w="1089"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3.25</w:t>
            </w:r>
          </w:p>
        </w:tc>
        <w:tc>
          <w:tcPr>
            <w:tcW w:w="104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0.69</w:t>
            </w:r>
          </w:p>
        </w:tc>
        <w:tc>
          <w:tcPr>
            <w:tcW w:w="1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0.44</w:t>
            </w:r>
          </w:p>
        </w:tc>
        <w:tc>
          <w:tcPr>
            <w:tcW w:w="102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3.72</w:t>
            </w:r>
          </w:p>
        </w:tc>
      </w:tr>
    </w:tbl>
    <w:p>
      <w:pPr>
        <w:spacing w:before="30" w:after="33"/>
        <w:ind w:left="220" w:leftChars="100" w:firstLine="0" w:firstLineChars="0"/>
        <w:rPr>
          <w:rFonts w:hint="eastAsia" w:ascii="仿宋" w:hAnsi="仿宋" w:eastAsia="仿宋" w:cs="仿宋"/>
          <w:sz w:val="22"/>
          <w:szCs w:val="22"/>
        </w:rPr>
      </w:pPr>
      <w:r>
        <w:rPr>
          <w:rFonts w:hint="eastAsia" w:ascii="仿宋" w:hAnsi="仿宋" w:eastAsia="仿宋" w:cs="仿宋"/>
          <w:sz w:val="22"/>
          <w:szCs w:val="22"/>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sz w:val="22"/>
              </w:rPr>
              <w:t>项目</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6</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24</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4</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30</w:t>
            </w:r>
          </w:p>
        </w:tc>
      </w:tr>
    </w:tbl>
    <w:p>
      <w:pPr>
        <w:widowControl w:val="0"/>
        <w:suppressAutoHyphens/>
        <w:bidi w:val="0"/>
        <w:spacing w:before="0" w:after="0"/>
        <w:ind w:left="0" w:leftChars="0" w:right="-2"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本表反映本年度一般公共预算“三公”经费、会议费和培训费支出情况。其中，预算数为全年预算数，反映按规定程序调整后的预算数；决算数是包括当年一般公共预算财政拨款和以前年度结转资金安排的实际支出。本表金额单位转换时可能存在尾数误差</w:t>
      </w:r>
      <w:r>
        <w:rPr>
          <w:rFonts w:hint="eastAsia" w:ascii="仿宋" w:hAnsi="仿宋" w:eastAsia="仿宋" w:cs="仿宋"/>
          <w:b w:val="0"/>
          <w:bCs w:val="0"/>
          <w:sz w:val="22"/>
          <w:szCs w:val="22"/>
        </w:rPr>
        <w:t>。</w:t>
      </w:r>
    </w:p>
    <w:p>
      <w:pPr>
        <w:widowControl w:val="0"/>
        <w:suppressAutoHyphens/>
        <w:bidi w:val="0"/>
        <w:spacing w:before="0" w:after="0"/>
        <w:ind w:left="227" w:right="0" w:firstLine="220" w:firstLineChars="100"/>
        <w:jc w:val="both"/>
        <w:rPr>
          <w:rFonts w:hint="eastAsia" w:ascii="仿宋" w:hAnsi="仿宋" w:eastAsia="仿宋" w:cs="仿宋"/>
          <w:b w:val="0"/>
          <w:bCs w:val="0"/>
          <w:sz w:val="22"/>
          <w:szCs w:val="22"/>
        </w:rPr>
        <w:sectPr>
          <w:footerReference r:id="rId16" w:type="default"/>
          <w:pgSz w:w="16838" w:h="11906" w:orient="landscape"/>
          <w:pgMar w:top="720" w:right="153" w:bottom="720" w:left="15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2"/>
              <w:widowControl w:val="0"/>
              <w:rPr>
                <w:rFonts w:hint="eastAsia" w:ascii="仿宋" w:hAnsi="仿宋" w:eastAsia="仿宋" w:cs="仿宋"/>
                <w:sz w:val="20"/>
              </w:rPr>
            </w:pPr>
          </w:p>
        </w:tc>
        <w:tc>
          <w:tcPr>
            <w:tcW w:w="2684" w:type="dxa"/>
          </w:tcPr>
          <w:p>
            <w:pPr>
              <w:pStyle w:val="22"/>
              <w:widowControl w:val="0"/>
              <w:rPr>
                <w:rFonts w:hint="eastAsia" w:ascii="仿宋" w:hAnsi="仿宋" w:eastAsia="仿宋" w:cs="仿宋"/>
                <w:sz w:val="27"/>
              </w:rPr>
            </w:pPr>
          </w:p>
        </w:tc>
        <w:tc>
          <w:tcPr>
            <w:tcW w:w="2432" w:type="dxa"/>
          </w:tcPr>
          <w:p>
            <w:pPr>
              <w:pStyle w:val="22"/>
              <w:widowControl w:val="0"/>
              <w:rPr>
                <w:rFonts w:hint="eastAsia" w:ascii="仿宋" w:hAnsi="仿宋" w:eastAsia="仿宋" w:cs="仿宋"/>
                <w:sz w:val="20"/>
              </w:rPr>
            </w:pP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南京仲裁委员会办公室</w:t>
            </w: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43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43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bl>
    <w:p>
      <w:pPr>
        <w:spacing w:before="25" w:after="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注：本表反映本年度政府性基金预算财政拨款支出情况。</w:t>
      </w:r>
    </w:p>
    <w:p>
      <w:pPr>
        <w:numPr>
          <w:ilvl w:val="0"/>
          <w:numId w:val="0"/>
        </w:numPr>
        <w:spacing w:before="25" w:after="0"/>
        <w:ind w:left="440" w:leftChars="200" w:firstLine="0" w:firstLineChars="0"/>
        <w:jc w:val="both"/>
        <w:rPr>
          <w:rFonts w:hint="default" w:ascii="仿宋" w:hAnsi="仿宋" w:eastAsia="仿宋" w:cs="仿宋"/>
          <w:b w:val="0"/>
          <w:bCs w:val="0"/>
          <w:sz w:val="22"/>
          <w:szCs w:val="22"/>
          <w:lang w:val="en-US" w:eastAsia="zh-CN"/>
        </w:rPr>
      </w:pPr>
      <w:r>
        <w:rPr>
          <w:rFonts w:ascii="仿宋" w:hAnsi="仿宋" w:eastAsia="仿宋" w:cs="仿宋"/>
          <w:sz w:val="22"/>
        </w:rPr>
        <w:t>本部门无政府性基金预算收入支出决算，故本表为空。</w:t>
      </w:r>
    </w:p>
    <w:p>
      <w:pPr>
        <w:widowControl w:val="0"/>
        <w:numPr>
          <w:ilvl w:val="0"/>
          <w:numId w:val="0"/>
        </w:numPr>
        <w:suppressAutoHyphens/>
        <w:bidi w:val="0"/>
        <w:spacing w:before="25" w:after="0"/>
        <w:jc w:val="both"/>
        <w:rPr>
          <w:rFonts w:hint="default" w:ascii="仿宋" w:hAnsi="仿宋" w:eastAsia="仿宋" w:cs="仿宋"/>
          <w:b w:val="0"/>
          <w:bCs w:val="0"/>
          <w:sz w:val="22"/>
          <w:szCs w:val="22"/>
          <w:lang w:val="en-US" w:eastAsia="zh-CN"/>
        </w:rPr>
        <w:sectPr>
          <w:footerReference r:id="rId17"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widowControl w:val="0"/>
              <w:rPr>
                <w:rFonts w:hint="eastAsia" w:ascii="仿宋" w:hAnsi="仿宋" w:eastAsia="仿宋" w:cs="仿宋"/>
                <w:sz w:val="20"/>
              </w:rPr>
            </w:pPr>
          </w:p>
        </w:tc>
        <w:tc>
          <w:tcPr>
            <w:tcW w:w="2510" w:type="dxa"/>
          </w:tcPr>
          <w:p>
            <w:pPr>
              <w:pStyle w:val="22"/>
              <w:widowControl w:val="0"/>
              <w:rPr>
                <w:rFonts w:hint="eastAsia" w:ascii="仿宋" w:hAnsi="仿宋" w:eastAsia="仿宋" w:cs="仿宋"/>
                <w:sz w:val="27"/>
              </w:rPr>
            </w:pPr>
          </w:p>
        </w:tc>
        <w:tc>
          <w:tcPr>
            <w:tcW w:w="2309" w:type="dxa"/>
          </w:tcPr>
          <w:p>
            <w:pPr>
              <w:pStyle w:val="22"/>
              <w:widowControl w:val="0"/>
              <w:rPr>
                <w:rFonts w:hint="eastAsia" w:ascii="仿宋" w:hAnsi="仿宋" w:eastAsia="仿宋" w:cs="仿宋"/>
                <w:sz w:val="20"/>
              </w:rPr>
            </w:pP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eastAsia="zh-CN"/>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南京仲裁委员会办公室</w:t>
            </w: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30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30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bl>
    <w:p>
      <w:pPr>
        <w:bidi w:val="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注：本表反映本年度国有资本经营预算财政拨款支出情况。</w:t>
      </w:r>
    </w:p>
    <w:p>
      <w:pPr>
        <w:numPr>
          <w:ilvl w:val="0"/>
          <w:numId w:val="0"/>
        </w:numPr>
        <w:bidi w:val="0"/>
        <w:ind w:left="440" w:leftChars="200" w:firstLine="0" w:firstLineChars="0"/>
        <w:jc w:val="both"/>
        <w:rPr>
          <w:rFonts w:hint="default" w:ascii="仿宋" w:hAnsi="仿宋" w:eastAsia="仿宋" w:cs="仿宋"/>
          <w:b w:val="0"/>
          <w:bCs w:val="0"/>
          <w:sz w:val="22"/>
          <w:szCs w:val="22"/>
          <w:lang w:val="en-US" w:eastAsia="zh-CN"/>
        </w:rPr>
      </w:pPr>
      <w:r>
        <w:rPr>
          <w:rFonts w:ascii="仿宋" w:hAnsi="仿宋" w:eastAsia="仿宋" w:cs="仿宋"/>
          <w:sz w:val="22"/>
        </w:rPr>
        <w:t>本部门无</w:t>
      </w:r>
      <w:r>
        <w:rPr>
          <w:rFonts w:hint="eastAsia" w:ascii="仿宋" w:hAnsi="仿宋" w:eastAsia="仿宋" w:cs="仿宋"/>
          <w:b w:val="0"/>
          <w:bCs w:val="0"/>
          <w:sz w:val="22"/>
          <w:szCs w:val="22"/>
        </w:rPr>
        <w:t>国有资本经营预算支出</w:t>
      </w:r>
      <w:r>
        <w:rPr>
          <w:rFonts w:hint="eastAsia" w:ascii="仿宋" w:hAnsi="仿宋" w:eastAsia="仿宋" w:cs="仿宋"/>
          <w:b w:val="0"/>
          <w:bCs w:val="0"/>
          <w:sz w:val="22"/>
          <w:szCs w:val="22"/>
          <w:lang w:val="en-US" w:eastAsia="zh-CN"/>
        </w:rPr>
        <w:t>决算，故本表为空。</w:t>
      </w:r>
    </w:p>
    <w:p>
      <w:pPr>
        <w:spacing w:before="25" w:after="0"/>
        <w:ind w:left="-220" w:leftChars="-100" w:firstLine="0" w:firstLineChars="0"/>
        <w:jc w:val="both"/>
        <w:rPr>
          <w:rFonts w:hint="default" w:ascii="仿宋" w:hAnsi="仿宋" w:eastAsia="仿宋" w:cs="仿宋"/>
          <w:b w:val="0"/>
          <w:bCs w:val="0"/>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widowControl w:val="0"/>
              <w:tabs>
                <w:tab w:val="left" w:pos="610"/>
              </w:tabs>
              <w:spacing w:before="28" w:after="0"/>
              <w:ind w:left="8" w:firstLine="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widowControl w:val="0"/>
              <w:rPr>
                <w:rFonts w:hint="eastAsia" w:ascii="仿宋" w:hAnsi="仿宋" w:eastAsia="仿宋" w:cs="仿宋"/>
                <w:sz w:val="20"/>
              </w:rPr>
            </w:pPr>
          </w:p>
        </w:tc>
        <w:tc>
          <w:tcPr>
            <w:tcW w:w="3834"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南京仲裁委员会办公室</w:t>
            </w:r>
          </w:p>
        </w:tc>
        <w:tc>
          <w:tcPr>
            <w:tcW w:w="3834"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834"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834"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spacing w:before="25" w:after="0"/>
        <w:ind w:left="0" w:leftChars="0" w:right="-92" w:rightChars="-42"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注：“机关运行经费” 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lang w:eastAsia="zh-CN"/>
        </w:rPr>
        <w:t>本</w:t>
      </w:r>
      <w:r>
        <w:rPr>
          <w:rFonts w:ascii="仿宋" w:hAnsi="仿宋" w:eastAsia="仿宋" w:cs="仿宋"/>
          <w:sz w:val="22"/>
        </w:rPr>
        <w:t>部门</w:t>
      </w:r>
      <w:r>
        <w:rPr>
          <w:rFonts w:hint="eastAsia" w:ascii="仿宋" w:hAnsi="仿宋" w:eastAsia="仿宋" w:cs="仿宋"/>
          <w:b w:val="0"/>
          <w:bCs w:val="0"/>
          <w:sz w:val="22"/>
          <w:szCs w:val="22"/>
        </w:rPr>
        <w:t>无一般公共预算机关运行经费支出决算，故本表为空。</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lang w:val="en-US" w:eastAsia="zh-CN"/>
        </w:rPr>
        <w:sectPr>
          <w:footerReference r:id="rId18" w:type="default"/>
          <w:type w:val="continuous"/>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widowControl w:val="0"/>
              <w:bidi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widowControl w:val="0"/>
              <w:bidi w:val="0"/>
              <w:rPr>
                <w:rFonts w:hint="eastAsia" w:ascii="仿宋" w:hAnsi="仿宋" w:eastAsia="仿宋" w:cs="仿宋"/>
              </w:rPr>
            </w:pPr>
          </w:p>
        </w:tc>
        <w:tc>
          <w:tcPr>
            <w:tcW w:w="722" w:type="dxa"/>
          </w:tcPr>
          <w:p>
            <w:pPr>
              <w:pStyle w:val="22"/>
              <w:widowControl w:val="0"/>
              <w:rPr>
                <w:rFonts w:hint="eastAsia" w:ascii="仿宋" w:hAnsi="仿宋" w:eastAsia="仿宋" w:cs="仿宋"/>
              </w:rPr>
            </w:pPr>
          </w:p>
        </w:tc>
        <w:tc>
          <w:tcPr>
            <w:tcW w:w="1992" w:type="dxa"/>
          </w:tcPr>
          <w:p>
            <w:pPr>
              <w:pStyle w:val="22"/>
              <w:widowControl w:val="0"/>
              <w:rPr>
                <w:rFonts w:hint="eastAsia" w:ascii="仿宋" w:hAnsi="仿宋" w:eastAsia="仿宋" w:cs="仿宋"/>
              </w:rPr>
            </w:pP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widowControl w:val="0"/>
              <w:bidi w:val="0"/>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南京仲裁委员会办公室</w:t>
            </w: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widowControl w:val="0"/>
              <w:bidi w:val="0"/>
              <w:jc w:val="center"/>
              <w:rPr>
                <w:rFonts w:hint="eastAsia" w:ascii="仿宋" w:hAnsi="仿宋" w:eastAsia="仿宋" w:cs="仿宋"/>
                <w:lang w:val="en-US" w:eastAsia="zh-CN"/>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747.92</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596.25</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51.67</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bidi w:val="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政府采购支出信息为单位纳入部门预算范围的各项政府采购支出情况。本表金额单位转换时可能存在尾数误差</w:t>
      </w:r>
      <w:r>
        <w:rPr>
          <w:rFonts w:hint="eastAsia" w:ascii="仿宋" w:hAnsi="仿宋" w:eastAsia="仿宋" w:cs="仿宋"/>
          <w:b w:val="0"/>
          <w:bCs w:val="0"/>
          <w:sz w:val="22"/>
          <w:szCs w:val="22"/>
        </w:rPr>
        <w:t>。</w:t>
      </w:r>
    </w:p>
    <w:p>
      <w:pPr>
        <w:numPr>
          <w:ilvl w:val="0"/>
          <w:numId w:val="0"/>
        </w:numPr>
        <w:bidi w:val="0"/>
        <w:ind w:left="440" w:leftChars="200" w:firstLine="0" w:firstLineChars="0"/>
        <w:jc w:val="both"/>
        <w:rPr>
          <w:rFonts w:hint="eastAsia" w:ascii="仿宋" w:hAnsi="仿宋" w:eastAsia="仿宋" w:cs="仿宋"/>
          <w:b w:val="0"/>
          <w:bCs w:val="0"/>
          <w:sz w:val="22"/>
          <w:szCs w:val="22"/>
        </w:rPr>
        <w:sectPr>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outlineLvl w:val="0"/>
        <w:rPr>
          <w:rFonts w:hint="eastAsia" w:ascii="宋体" w:hAnsi="宋体" w:eastAsia="宋体" w:cs="宋体"/>
          <w:b/>
          <w:bCs/>
          <w:color w:val="000000"/>
          <w:kern w:val="0"/>
          <w:sz w:val="36"/>
          <w:szCs w:val="36"/>
          <w:lang w:val="zh-CN" w:eastAsia="ar-SA" w:bidi="zh-CN"/>
        </w:rPr>
      </w:pPr>
      <w:r>
        <w:rPr>
          <w:rFonts w:hint="eastAsia" w:ascii="宋体" w:hAnsi="宋体" w:eastAsia="宋体" w:cs="宋体"/>
          <w:b/>
          <w:bCs/>
          <w:color w:val="000000"/>
          <w:kern w:val="0"/>
          <w:sz w:val="36"/>
          <w:szCs w:val="36"/>
          <w:lang w:val="zh-CN" w:eastAsia="ar-SA" w:bidi="zh-CN"/>
        </w:rPr>
        <w:t>第三部分</w:t>
      </w:r>
      <w:r>
        <w:rPr>
          <w:rFonts w:hint="eastAsia" w:ascii="宋体" w:hAnsi="宋体" w:eastAsia="宋体" w:cs="宋体"/>
          <w:b/>
          <w:bCs/>
          <w:color w:val="000000"/>
          <w:kern w:val="0"/>
          <w:sz w:val="36"/>
          <w:szCs w:val="36"/>
          <w:lang w:val="en-US" w:eastAsia="zh-CN" w:bidi="zh-CN"/>
        </w:rPr>
        <w:t xml:space="preserve"> </w:t>
      </w:r>
      <w:r>
        <w:rPr>
          <w:rFonts w:hint="eastAsia" w:ascii="宋体" w:hAnsi="宋体" w:eastAsia="宋体" w:cs="宋体"/>
          <w:b/>
          <w:bCs/>
          <w:color w:val="000000"/>
          <w:kern w:val="0"/>
          <w:sz w:val="36"/>
          <w:szCs w:val="36"/>
          <w:lang w:val="zh-CN" w:eastAsia="zh-CN" w:bidi="zh-CN"/>
        </w:rPr>
        <w:t>2021</w:t>
      </w:r>
      <w:r>
        <w:rPr>
          <w:rFonts w:hint="eastAsia" w:ascii="宋体" w:hAnsi="宋体" w:eastAsia="宋体" w:cs="宋体"/>
          <w:b/>
          <w:bCs/>
          <w:color w:val="000000"/>
          <w:kern w:val="0"/>
          <w:sz w:val="36"/>
          <w:szCs w:val="36"/>
          <w:lang w:val="zh-CN" w:eastAsia="ar-SA" w:bidi="zh-CN"/>
        </w:rPr>
        <w:t>年度</w:t>
      </w:r>
      <w:r>
        <w:rPr>
          <w:rFonts w:ascii="宋体" w:hAnsi="宋体" w:eastAsia="宋体" w:cs="宋体"/>
          <w:b/>
          <w:color w:val="000000"/>
          <w:sz w:val="36"/>
        </w:rPr>
        <w:t>部门决算情况说明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一、收入支出决算总体情况说明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2021年度收入、支出决算总计2,331.06万元。与上年相比，收、支总计各增加369.95万元，增长18.86%。其中：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（一）收入决算总计2,331.06万元。包括：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1.本年收入决算合计2,202.02万元。与上年相比，增加250.5万元，增长12.84%，变动原因：人员增加、智慧仲裁项目延续。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2.使用非财政拨款结余0万元。与上年决算数相同。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3.年初结转和结余129.04万元。与上年相比，增加119.45万元，增长1,245.57%，变动原因：上年结转本年使用的智慧仲裁项目等。</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（二）支出决算总计2,331.06万元。包括：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1.本年支出决算合计2,331.06万元。与上年相比，增加968.26万元，增长71.05%，变动原因：人员增加、智慧仲裁项目延续。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2.结余分配0万元。与上年决算数相同。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3.年末结转和结余0万元。与上年相比，减少598.31万元，减少100%，变动原因：按照市财政局要求，年末没有相关结转和结余。</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本年收入决算合计2,202.02万元，其中：财政拨款收入2,202.02万元，占100%；上级补助收入0万元，占0%；财政专户管理教育收费0万元，占0%；事业收入（不含专户管理教育收费）0万元，占0%；经营收入0万元，占0%；附属单位上缴收入0万元，占0%；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2021年度本年支出决算合计2,331.06万元，其中：基本支出981.47万元，占42.1%；项目支出1,349.59万元，占57.9%；上缴上级支出0万元，占0%；经营支出0万元，占0%；对附属单位补助支出0万元，占0%。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四、财政拨款收入支出决算总体情况说明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2021年度财政拨款收入、支出决算总计2,331.06万元。与上年相比，收、支总计各增加376.58万元，增长19.27%，变动原因：人员增加、智慧仲裁项目延续。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2021年度财政拨款支出决算2,331.06万元，占本年支出合计的100%。与2021年度财政拨款支出年初预算1,850.45万元相比，完成年初预算的125.97%。其中：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（一）公共安全支出（类）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司法（款）公共法律服务（项）。年初预算1,546.7万元，支出决算1,995.06万元，完成年初预算的128.99%。决算数与年初预算数的差异原因：延续使用智慧仲裁项目上年度财政拨款结转资金。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（二）科学技术支出（类）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他科学技术支出（款）其他科学技术支出（项）。年初预算0万元，支出决算32.34万元，（年初预算数为0万元，无法计算完成比率）。决算数与年初预算数的差异原因：延续使用业务系统升级改造上年度财政拨款结转资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1.行政事业单位养老支出（款）事业单位离退休（项）。年初预算6.44万元，支出决算6.35万元，完成年初预算的98.6%。决算数与年初预算数的差异原因：功能科目调整。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2.行政事业单位养老支出（款）机关事业单位基本养老保险缴费支出（项）。年初预算48.69万元，支出决算48.69万元，完成年初预算的100%。决算数与年初预算数相同。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3.行政事业单位养老支出（款）机关事业单位职业年金缴费支出（项）。年初预算24.34万元，支出决算24.34万元，完成年初预算的100%。决算数与年初预算数相同。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1.住房改革支出（款）住房公积金（项）。年初预算65.65万元，支出决算65.65万元，完成年初预算的100%。决算数与年初预算数相同。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2.住房改革支出（款）提租补贴（项）。年初预算158.63万元，支出决算158.63万元，完成年初预算的100%。决算数与年初预算数相同。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2021年度财政拨款基本支出决算981.47万元，其中：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（一）人员经费895.42万元。</w:t>
      </w:r>
      <w:r>
        <w:rPr>
          <w:rFonts w:ascii="仿宋" w:hAnsi="仿宋" w:eastAsia="仿宋" w:cs="仿宋"/>
        </w:rPr>
        <w:t>主要包括：基本工资、津贴补贴、奖金、绩效工资、机关事业单位基本养老保险缴费、职业年金缴费、职工基本医疗保险缴费、其他社会保障缴费、住房公积金、医疗费、其他工资福利支出、退休费、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（二）公用经费86.05万元。</w:t>
      </w:r>
      <w:r>
        <w:rPr>
          <w:rFonts w:ascii="仿宋" w:hAnsi="仿宋" w:eastAsia="仿宋" w:cs="仿宋"/>
        </w:rPr>
        <w:t>主要包括：办公费、水费、电费、邮电费、物业管理费、差旅费、维修（护）费、会议费、培训费、公务接待费、劳务费、工会经费、福利费、公务用车运行维护费、其他交通费用、其他商品和服务支出。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2021年度一般公共预算财政拨款支出决算2,331.06万元。与上年相比，增加968.26万元，增长71.05%，变动原因：人员增加、智慧仲裁项目延续。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2021年度一般公共预算财政拨款基本支出决算981.47万元，其中：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（一）人员经费895.42万元。</w:t>
      </w:r>
      <w:r>
        <w:rPr>
          <w:rFonts w:ascii="仿宋" w:hAnsi="仿宋" w:eastAsia="仿宋" w:cs="仿宋"/>
        </w:rPr>
        <w:t>主要包括：基本工资、津贴补贴、奖金、绩效工资、机关事业单位基本养老保险缴费、职业年金缴费、职工基本医疗保险缴费、其他社会保障缴费、住房公积金、医疗费、其他工资福利支出、退休费、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（二）公用经费86.05万元。</w:t>
      </w:r>
      <w:r>
        <w:rPr>
          <w:rFonts w:ascii="仿宋" w:hAnsi="仿宋" w:eastAsia="仿宋" w:cs="仿宋"/>
        </w:rPr>
        <w:t>主要包括：办公费、水费、电费、邮电费、物业管理费、差旅费、维修（护）费、会议费、培训费、公务接待费、劳务费、工会经费、福利费、公务用车运行维护费、其他交通费用、其他商品和服务支出。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（一）一般公共预算“三公”经费支出总体情况说明。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一般公共预算“三公”经费支出决算3.93万元。与上年相比，增加2.25万元，变动原因：公务车老化，维修费用增加。其中，因公出国（境）费支出0万元，占“三公”经费的0%；公务用车购置及运行维护费支出3.25万元，占“三公”经费的82.49%；公务接待费支出0.69万元，占“三公”经费的17.51%。</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（二）一般公共预算“三公”经费支出具体情况说明。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1．因公出国（境）费支出预算0万元，支出决算0万元，完成预算的100%，决算数与预算数相同。全年使用一般公共预算财政拨款涉及的出国（境）团组0个，累计0人次。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2．公务用车购置及运行维护费支出预算6.16万元，支出决算3.25万元，完成预算的52.76%，决算数与预算数的差异原因：严格控制公务用车运行维护费支出。其中：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（1）公务用车购置支出决算0万元。本年度使用一般公共预算财政拨款购置公务用车0辆。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支出决算3.25万元。公务用车运行维护费主要用于按规定保留的公务用车的燃料费、维修费、过桥过路费、保险费、安全奖励费用等支出。截至2021年12月31日，使用一般公共预算财政拨款开支的公务用车保有量为2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支出预算1.2万元，支出决算0.69万元，完成预算的57.5%，决算数与预算数的差异原因：严格控制公务接待费支出。其中：国内公务接待支出0.69万元，接待6批次，24人次，开支内容：外地仲裁委来访等；国（境）外公务接待支出0万元，接待0批次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（三）一般公共预算会议费支出决算情况说明。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一般公共预算财政拨款会议费支出预算1.6万元，支出决算0.44万元，完成预算的27.5%，决算数与预算数的差异原因：严控会议费支出。2021年度全年召开会议1个，参加会议10人次，开支内容：《仲裁在中国》纪录片研讨会。</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（四）一般公共预算培训费支出决算情况说明。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一般公共预算财政拨款培训费支出预算4.3万元，支出决算3.72万元，完成预算的86.51%，决算数与预算数的差异原因：严格控制培训费支出。2021年度全年组织培训4个，组织培训30人次，开支内容：仲裁业务培训、高级技师培训、领导干部高校专题培训等。</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2021年度政府性基金预算财政拨款支出决算0万元。与上年决算数相同。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2021年度国有资本经营预算财政拨款支出决算0万元。与上年决算数相同。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2021年度机关运行经费支出决算0万元。与上年决算数相同。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政府采购支出总额747.92万元，其中：政府采购货物支出596.25万元、政府采购工程支出100万元、政府采购服务支出51.67万元。政府采购授予中小企业合同金额0万元，占政府采购支出总额的0%，其中：授予小微企业合同金额0万元，占政府采购支出总额的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截至2021年12月31日，本部门共有车辆2辆，其中：副部(省)级及以上领导用车0辆、主要领导干部用车0辆、机要通信用车1辆、应急保障用车0辆、执法执勤用车0辆、特种专业技术用车0辆、离退休干部用车0辆、其他用车1辆；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十五、预算绩效评价工作开展情况</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2021年度，本部门共0个项目开展了财政重点绩效评价，涉及财政性资金合计0万元；本部门未开展部门整体支出财政重点绩效评价，涉及财政性资金0万元。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本部门共对上年度已实施完成的6个项目开展了绩效自评价，涉及财政性资金合计683万元；本部门共开展7项部门整体支出绩效自评价，涉及财政性资金合计971.78万元。</w:t>
      </w:r>
    </w:p>
    <w:p>
      <w:pPr>
        <w:pStyle w:val="5"/>
        <w:tabs>
          <w:tab w:val="left" w:pos="3077"/>
        </w:tabs>
        <w:spacing w:line="616"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第四部分 名词</w:t>
      </w:r>
      <w:r>
        <w:rPr>
          <w:rFonts w:hint="eastAsia" w:ascii="宋体" w:hAnsi="宋体" w:eastAsia="宋体" w:cs="宋体"/>
          <w:b/>
          <w:bCs/>
          <w:color w:val="000000"/>
          <w:kern w:val="0"/>
          <w:sz w:val="36"/>
          <w:szCs w:val="36"/>
          <w:lang w:val="zh-CN" w:eastAsia="ar-SA" w:bidi="zh-CN"/>
        </w:rPr>
        <w:t>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八、使用非财政拨款结余</w:t>
      </w:r>
      <w:r>
        <w:rPr>
          <w:rFonts w:ascii="仿宋" w:hAnsi="仿宋" w:eastAsia="仿宋" w:cs="仿宋"/>
          <w:b/>
        </w:rPr>
        <w:t>：</w:t>
      </w:r>
      <w:r>
        <w:rPr>
          <w:rFonts w:hint="eastAsia" w:ascii="仿宋" w:hAnsi="仿宋" w:eastAsia="仿宋" w:cs="仿宋"/>
        </w:rPr>
        <w:t>指事业单位按照预算管理要求使用非财政拨款结余（原事业基金）弥补当年收支差额的数额。</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十九、公共安全支出(类)司法(款)公共法律服务(项)</w:t>
      </w:r>
      <w:r>
        <w:rPr>
          <w:rFonts w:ascii="仿宋" w:hAnsi="仿宋" w:eastAsia="仿宋" w:cs="仿宋"/>
          <w:b/>
        </w:rPr>
        <w:t>：</w:t>
      </w:r>
      <w:r>
        <w:rPr>
          <w:rFonts w:hint="eastAsia" w:ascii="仿宋" w:hAnsi="仿宋" w:eastAsia="仿宋" w:cs="仿宋"/>
        </w:rPr>
        <w:t>反映司法行政部门用于法律援助、司法鉴定、公证、仲裁等公共法律服务工作的相关支出。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二十、科学技术支出(类)其他科学技术支出(款)其他科学技术支出(项)</w:t>
      </w:r>
      <w:r>
        <w:rPr>
          <w:rFonts w:ascii="仿宋" w:hAnsi="仿宋" w:eastAsia="仿宋" w:cs="仿宋"/>
          <w:b/>
        </w:rPr>
        <w:t>：</w:t>
      </w:r>
      <w:r>
        <w:rPr>
          <w:rFonts w:hint="eastAsia" w:ascii="仿宋" w:hAnsi="仿宋" w:eastAsia="仿宋" w:cs="仿宋"/>
        </w:rPr>
        <w:t>反映其他科学技术支出中除以上各项外用于科技方面的支出。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南京仲裁委员会办公室</w:t>
    </w:r>
    <w:r>
      <w:t>2021年度部门决算公开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789"/>
    <w:rsid w:val="000F12AB"/>
    <w:rsid w:val="001C31F9"/>
    <w:rsid w:val="002E63B1"/>
    <w:rsid w:val="00407CA7"/>
    <w:rsid w:val="00413AD8"/>
    <w:rsid w:val="004C0647"/>
    <w:rsid w:val="00671ED7"/>
    <w:rsid w:val="00672164"/>
    <w:rsid w:val="006732F1"/>
    <w:rsid w:val="008322BB"/>
    <w:rsid w:val="00867423"/>
    <w:rsid w:val="008B5B05"/>
    <w:rsid w:val="009965EA"/>
    <w:rsid w:val="00A6752E"/>
    <w:rsid w:val="00B92181"/>
    <w:rsid w:val="00BD7F33"/>
    <w:rsid w:val="00C15920"/>
    <w:rsid w:val="00C82582"/>
    <w:rsid w:val="00FA3233"/>
    <w:rsid w:val="010F1E77"/>
    <w:rsid w:val="01536131"/>
    <w:rsid w:val="01657C13"/>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461F7D"/>
    <w:rsid w:val="044E689B"/>
    <w:rsid w:val="0458580D"/>
    <w:rsid w:val="045E5FB7"/>
    <w:rsid w:val="049256F0"/>
    <w:rsid w:val="0495610D"/>
    <w:rsid w:val="04C730A4"/>
    <w:rsid w:val="04DA4474"/>
    <w:rsid w:val="04DF580C"/>
    <w:rsid w:val="04E946A2"/>
    <w:rsid w:val="04EA46EB"/>
    <w:rsid w:val="05185546"/>
    <w:rsid w:val="052126A9"/>
    <w:rsid w:val="05247FC3"/>
    <w:rsid w:val="05346113"/>
    <w:rsid w:val="05423E9C"/>
    <w:rsid w:val="05600A24"/>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A6451"/>
    <w:rsid w:val="064C13A1"/>
    <w:rsid w:val="06542957"/>
    <w:rsid w:val="0681129C"/>
    <w:rsid w:val="06824DC3"/>
    <w:rsid w:val="0695552F"/>
    <w:rsid w:val="069B5E85"/>
    <w:rsid w:val="06C87B62"/>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DA70C2"/>
    <w:rsid w:val="0AFD463B"/>
    <w:rsid w:val="0B05614C"/>
    <w:rsid w:val="0B134992"/>
    <w:rsid w:val="0B160131"/>
    <w:rsid w:val="0B2B4189"/>
    <w:rsid w:val="0B392278"/>
    <w:rsid w:val="0B675A6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E7568"/>
    <w:rsid w:val="0E662847"/>
    <w:rsid w:val="0E854C8B"/>
    <w:rsid w:val="0E94230E"/>
    <w:rsid w:val="0E946F22"/>
    <w:rsid w:val="0EA37FCC"/>
    <w:rsid w:val="0EE7610B"/>
    <w:rsid w:val="0EF65551"/>
    <w:rsid w:val="0EFE25F0"/>
    <w:rsid w:val="0F135152"/>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5A4782"/>
    <w:rsid w:val="1D623037"/>
    <w:rsid w:val="1D660B43"/>
    <w:rsid w:val="1D672CB3"/>
    <w:rsid w:val="1D7C0925"/>
    <w:rsid w:val="1D817975"/>
    <w:rsid w:val="1D951979"/>
    <w:rsid w:val="1DAF110E"/>
    <w:rsid w:val="1DB61054"/>
    <w:rsid w:val="1DC835AB"/>
    <w:rsid w:val="1DC94431"/>
    <w:rsid w:val="1DD41F50"/>
    <w:rsid w:val="1DF7725D"/>
    <w:rsid w:val="1DFC3255"/>
    <w:rsid w:val="1DFD14A7"/>
    <w:rsid w:val="1E107489"/>
    <w:rsid w:val="1E120047"/>
    <w:rsid w:val="1E2456FC"/>
    <w:rsid w:val="1E387717"/>
    <w:rsid w:val="1E426EBA"/>
    <w:rsid w:val="1E5227F5"/>
    <w:rsid w:val="1E5B1486"/>
    <w:rsid w:val="1E6037E4"/>
    <w:rsid w:val="1E6C2CB1"/>
    <w:rsid w:val="1E86604F"/>
    <w:rsid w:val="1E8B2478"/>
    <w:rsid w:val="1EA55F87"/>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655593"/>
    <w:rsid w:val="23873CA0"/>
    <w:rsid w:val="23A668C2"/>
    <w:rsid w:val="23B5012E"/>
    <w:rsid w:val="23C6058D"/>
    <w:rsid w:val="23CC2CE3"/>
    <w:rsid w:val="23E97DD8"/>
    <w:rsid w:val="23F81D1C"/>
    <w:rsid w:val="24004EF0"/>
    <w:rsid w:val="242552B4"/>
    <w:rsid w:val="242D23BA"/>
    <w:rsid w:val="24361C71"/>
    <w:rsid w:val="245222E6"/>
    <w:rsid w:val="2455798C"/>
    <w:rsid w:val="246851A0"/>
    <w:rsid w:val="246E4FE1"/>
    <w:rsid w:val="247771B1"/>
    <w:rsid w:val="24797436"/>
    <w:rsid w:val="24893698"/>
    <w:rsid w:val="248A0DA1"/>
    <w:rsid w:val="248B0DC9"/>
    <w:rsid w:val="24AC7248"/>
    <w:rsid w:val="24B228BF"/>
    <w:rsid w:val="24DE364C"/>
    <w:rsid w:val="24EF440E"/>
    <w:rsid w:val="25007ACF"/>
    <w:rsid w:val="25076767"/>
    <w:rsid w:val="25191A92"/>
    <w:rsid w:val="25290357"/>
    <w:rsid w:val="253C3B25"/>
    <w:rsid w:val="25513E86"/>
    <w:rsid w:val="255F5B0A"/>
    <w:rsid w:val="25664EB1"/>
    <w:rsid w:val="257302A1"/>
    <w:rsid w:val="2573629D"/>
    <w:rsid w:val="257B7E43"/>
    <w:rsid w:val="25A7022D"/>
    <w:rsid w:val="25C32FD6"/>
    <w:rsid w:val="25C603D0"/>
    <w:rsid w:val="25E1520A"/>
    <w:rsid w:val="25E2513A"/>
    <w:rsid w:val="25F45922"/>
    <w:rsid w:val="25FD2F48"/>
    <w:rsid w:val="261E645E"/>
    <w:rsid w:val="262E21CA"/>
    <w:rsid w:val="26713F63"/>
    <w:rsid w:val="26753166"/>
    <w:rsid w:val="267B561B"/>
    <w:rsid w:val="267C5A99"/>
    <w:rsid w:val="2682148D"/>
    <w:rsid w:val="268D22B5"/>
    <w:rsid w:val="269240CC"/>
    <w:rsid w:val="269A47B4"/>
    <w:rsid w:val="269E759F"/>
    <w:rsid w:val="26A526DC"/>
    <w:rsid w:val="26A5448A"/>
    <w:rsid w:val="26BF5BA2"/>
    <w:rsid w:val="26CB1A16"/>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1B36C2"/>
    <w:rsid w:val="2B3C1AAA"/>
    <w:rsid w:val="2B77216D"/>
    <w:rsid w:val="2B7A42C1"/>
    <w:rsid w:val="2B82668D"/>
    <w:rsid w:val="2B8C19B3"/>
    <w:rsid w:val="2B9A7EB4"/>
    <w:rsid w:val="2BB8407D"/>
    <w:rsid w:val="2BBE24DE"/>
    <w:rsid w:val="2BBF0C02"/>
    <w:rsid w:val="2BDD28EB"/>
    <w:rsid w:val="2BE5357A"/>
    <w:rsid w:val="2BEC66B7"/>
    <w:rsid w:val="2BF43094"/>
    <w:rsid w:val="2BF909AA"/>
    <w:rsid w:val="2BFC0D12"/>
    <w:rsid w:val="2C016606"/>
    <w:rsid w:val="2C0757B7"/>
    <w:rsid w:val="2C153E60"/>
    <w:rsid w:val="2C1E422F"/>
    <w:rsid w:val="2C3818FC"/>
    <w:rsid w:val="2C5950A4"/>
    <w:rsid w:val="2C660130"/>
    <w:rsid w:val="2C73502A"/>
    <w:rsid w:val="2CB9711D"/>
    <w:rsid w:val="2CEA52EC"/>
    <w:rsid w:val="2CF3363A"/>
    <w:rsid w:val="2D000C25"/>
    <w:rsid w:val="2D0F4DB4"/>
    <w:rsid w:val="2D2D36A5"/>
    <w:rsid w:val="2D365B16"/>
    <w:rsid w:val="2D4B38B1"/>
    <w:rsid w:val="2D5646DC"/>
    <w:rsid w:val="2D584691"/>
    <w:rsid w:val="2D6D2070"/>
    <w:rsid w:val="2D9D0838"/>
    <w:rsid w:val="2D9E1C33"/>
    <w:rsid w:val="2DB652A4"/>
    <w:rsid w:val="2DB943B8"/>
    <w:rsid w:val="2DBB2419"/>
    <w:rsid w:val="2DBF7001"/>
    <w:rsid w:val="2DC26166"/>
    <w:rsid w:val="2DD13DB6"/>
    <w:rsid w:val="2DD903A8"/>
    <w:rsid w:val="2DEA2F76"/>
    <w:rsid w:val="2DF041FF"/>
    <w:rsid w:val="2DF76E1B"/>
    <w:rsid w:val="2DFD2DFD"/>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7BE"/>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820BF8"/>
    <w:rsid w:val="3C9A772E"/>
    <w:rsid w:val="3CB974FB"/>
    <w:rsid w:val="3CD16A6C"/>
    <w:rsid w:val="3CFF2A56"/>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ED50AE"/>
    <w:rsid w:val="45FD0891"/>
    <w:rsid w:val="46185D52"/>
    <w:rsid w:val="46192347"/>
    <w:rsid w:val="46252A99"/>
    <w:rsid w:val="462C285E"/>
    <w:rsid w:val="4639249F"/>
    <w:rsid w:val="463A0304"/>
    <w:rsid w:val="464A4975"/>
    <w:rsid w:val="465670F7"/>
    <w:rsid w:val="4665558C"/>
    <w:rsid w:val="467C2D95"/>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B2726"/>
    <w:rsid w:val="4F8B4457"/>
    <w:rsid w:val="4FA41146"/>
    <w:rsid w:val="4FA90297"/>
    <w:rsid w:val="4FD80B7D"/>
    <w:rsid w:val="4FDA01F8"/>
    <w:rsid w:val="4FE561E5"/>
    <w:rsid w:val="4FF221C3"/>
    <w:rsid w:val="4FF5172F"/>
    <w:rsid w:val="4FFA0634"/>
    <w:rsid w:val="500032A2"/>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1024103"/>
    <w:rsid w:val="51025571"/>
    <w:rsid w:val="51071719"/>
    <w:rsid w:val="510819A0"/>
    <w:rsid w:val="51200E5F"/>
    <w:rsid w:val="5123009E"/>
    <w:rsid w:val="512C2CA7"/>
    <w:rsid w:val="512D289E"/>
    <w:rsid w:val="514152FB"/>
    <w:rsid w:val="51434ED1"/>
    <w:rsid w:val="514D0397"/>
    <w:rsid w:val="51595CED"/>
    <w:rsid w:val="516445A0"/>
    <w:rsid w:val="518956A9"/>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D6E7A"/>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852ECF"/>
    <w:rsid w:val="5A9C1659"/>
    <w:rsid w:val="5AA026B8"/>
    <w:rsid w:val="5AA116D7"/>
    <w:rsid w:val="5AAC7C87"/>
    <w:rsid w:val="5ADA1FF9"/>
    <w:rsid w:val="5AE821DA"/>
    <w:rsid w:val="5AED557F"/>
    <w:rsid w:val="5AF20641"/>
    <w:rsid w:val="5AFD1904"/>
    <w:rsid w:val="5B1552F3"/>
    <w:rsid w:val="5B2B4256"/>
    <w:rsid w:val="5B2C0607"/>
    <w:rsid w:val="5B3034F1"/>
    <w:rsid w:val="5B424CC5"/>
    <w:rsid w:val="5B4672E2"/>
    <w:rsid w:val="5B57504B"/>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D1281"/>
    <w:rsid w:val="63921C8F"/>
    <w:rsid w:val="63974B7F"/>
    <w:rsid w:val="639F7B81"/>
    <w:rsid w:val="63A252D2"/>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29477F"/>
    <w:rsid w:val="682F4FA9"/>
    <w:rsid w:val="68310698"/>
    <w:rsid w:val="68323C50"/>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423186"/>
    <w:rsid w:val="69432BE1"/>
    <w:rsid w:val="694D728A"/>
    <w:rsid w:val="69594684"/>
    <w:rsid w:val="6988057F"/>
    <w:rsid w:val="699906A2"/>
    <w:rsid w:val="69A973BA"/>
    <w:rsid w:val="69AC12C2"/>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456F6D"/>
    <w:rsid w:val="7A5F16CA"/>
    <w:rsid w:val="7A710D8E"/>
    <w:rsid w:val="7AAA2F92"/>
    <w:rsid w:val="7AB1300F"/>
    <w:rsid w:val="7AB64E52"/>
    <w:rsid w:val="7ADA0EA4"/>
    <w:rsid w:val="7AE75FBC"/>
    <w:rsid w:val="7AFC56D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A73F44"/>
    <w:rsid w:val="7FAD2052"/>
    <w:rsid w:val="7FB0411E"/>
    <w:rsid w:val="7FCA5021"/>
    <w:rsid w:val="7FEA3B6F"/>
    <w:rsid w:val="7FEE5147"/>
    <w:rsid w:val="7FF32CE5"/>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13453</Words>
  <Characters>16538</Characters>
  <Paragraphs>501</Paragraphs>
  <TotalTime>28</TotalTime>
  <ScaleCrop>false</ScaleCrop>
  <LinksUpToDate>false</LinksUpToDate>
  <CharactersWithSpaces>17122</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dell</cp:lastModifiedBy>
  <dcterms:modified xsi:type="dcterms:W3CDTF">2022-09-06T02:33:09Z</dcterms:modified>
  <dc:title>部门决算公开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AFDB250791D34EA9B0C765CF82F7649C</vt:lpwstr>
  </property>
  <property fmtid="{D5CDD505-2E9C-101B-9397-08002B2CF9AE}" pid="5" name="KSOProductBuildVer">
    <vt:lpwstr>2052-11.1.0.12358</vt:lpwstr>
  </property>
  <property fmtid="{D5CDD505-2E9C-101B-9397-08002B2CF9AE}" pid="6" name="LastSaved">
    <vt:filetime>2021-04-15T00:00:00Z</vt:filetime>
  </property>
</Properties>
</file>