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6AE0">
      <w:pPr>
        <w:keepNext w:val="0"/>
        <w:keepLines w:val="0"/>
        <w:pageBreakBefore w:val="0"/>
        <w:widowControl/>
        <w:kinsoku w:val="0"/>
        <w:wordWrap/>
        <w:overflowPunct/>
        <w:topLinePunct w:val="0"/>
        <w:autoSpaceDE w:val="0"/>
        <w:autoSpaceDN w:val="0"/>
        <w:bidi w:val="0"/>
        <w:adjustRightInd w:val="0"/>
        <w:snapToGrid/>
        <w:spacing w:line="600" w:lineRule="exact"/>
        <w:jc w:val="center"/>
        <w:textAlignment w:val="baseline"/>
        <w:rPr>
          <w:rFonts w:ascii="方正小标宋简体" w:hAnsi="方正小标宋简体" w:eastAsia="方正小标宋简体" w:cs="方正小标宋简体"/>
          <w:spacing w:val="-2"/>
          <w:sz w:val="44"/>
          <w:szCs w:val="44"/>
          <w:lang w:eastAsia="zh-CN"/>
        </w:rPr>
      </w:pPr>
      <w:r>
        <w:rPr>
          <w:rFonts w:hint="eastAsia" w:ascii="方正小标宋简体" w:hAnsi="方正小标宋简体" w:eastAsia="方正小标宋简体" w:cs="方正小标宋简体"/>
          <w:spacing w:val="-3"/>
          <w:sz w:val="44"/>
          <w:szCs w:val="44"/>
          <w:lang w:eastAsia="zh-CN"/>
        </w:rPr>
        <w:t>202</w:t>
      </w:r>
      <w:r>
        <w:rPr>
          <w:rFonts w:hint="eastAsia" w:ascii="方正小标宋简体" w:hAnsi="方正小标宋简体" w:eastAsia="方正小标宋简体" w:cs="方正小标宋简体"/>
          <w:spacing w:val="-3"/>
          <w:sz w:val="44"/>
          <w:szCs w:val="44"/>
          <w:lang w:val="en-US" w:eastAsia="zh-CN"/>
        </w:rPr>
        <w:t>4</w:t>
      </w:r>
      <w:r>
        <w:rPr>
          <w:rFonts w:hint="eastAsia" w:ascii="方正小标宋简体" w:hAnsi="方正小标宋简体" w:eastAsia="方正小标宋简体" w:cs="方正小标宋简体"/>
          <w:spacing w:val="-3"/>
          <w:sz w:val="44"/>
          <w:szCs w:val="44"/>
          <w:lang w:eastAsia="zh-CN"/>
        </w:rPr>
        <w:t>年度南京仲裁委员会办公室</w:t>
      </w:r>
      <w:r>
        <w:rPr>
          <w:rFonts w:hint="eastAsia" w:ascii="方正小标宋简体" w:hAnsi="方正小标宋简体" w:eastAsia="方正小标宋简体" w:cs="方正小标宋简体"/>
          <w:spacing w:val="-2"/>
          <w:sz w:val="44"/>
          <w:szCs w:val="44"/>
          <w:lang w:eastAsia="zh-CN"/>
        </w:rPr>
        <w:t>部门整体</w:t>
      </w:r>
    </w:p>
    <w:p w14:paraId="16BCF489">
      <w:pPr>
        <w:keepNext w:val="0"/>
        <w:keepLines w:val="0"/>
        <w:pageBreakBefore w:val="0"/>
        <w:widowControl/>
        <w:kinsoku w:val="0"/>
        <w:wordWrap/>
        <w:overflowPunct/>
        <w:topLinePunct w:val="0"/>
        <w:autoSpaceDE w:val="0"/>
        <w:autoSpaceDN w:val="0"/>
        <w:bidi w:val="0"/>
        <w:adjustRightInd w:val="0"/>
        <w:snapToGrid/>
        <w:spacing w:line="600" w:lineRule="exact"/>
        <w:jc w:val="center"/>
        <w:textAlignment w:val="baseline"/>
        <w:rPr>
          <w:rFonts w:hint="eastAsia"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spacing w:val="-2"/>
          <w:sz w:val="44"/>
          <w:szCs w:val="44"/>
        </w:rPr>
        <w:t>绩效自评价报告</w:t>
      </w:r>
    </w:p>
    <w:p w14:paraId="5C565A3B">
      <w:pPr>
        <w:keepNext w:val="0"/>
        <w:keepLines w:val="0"/>
        <w:pageBreakBefore w:val="0"/>
        <w:widowControl/>
        <w:kinsoku w:val="0"/>
        <w:wordWrap/>
        <w:overflowPunct/>
        <w:topLinePunct w:val="0"/>
        <w:autoSpaceDE w:val="0"/>
        <w:autoSpaceDN w:val="0"/>
        <w:bidi w:val="0"/>
        <w:adjustRightInd w:val="0"/>
        <w:snapToGrid/>
        <w:spacing w:line="600" w:lineRule="exact"/>
        <w:jc w:val="center"/>
        <w:textAlignment w:val="baseline"/>
        <w:rPr>
          <w:rFonts w:hint="eastAsia" w:ascii="楷体" w:hAnsi="楷体" w:eastAsia="楷体" w:cs="楷体"/>
          <w:spacing w:val="-2"/>
          <w:sz w:val="32"/>
          <w:szCs w:val="32"/>
          <w:lang w:val="en-US" w:eastAsia="zh-CN"/>
        </w:rPr>
      </w:pPr>
      <w:r>
        <w:rPr>
          <w:rFonts w:hint="eastAsia" w:ascii="楷体" w:hAnsi="楷体" w:eastAsia="楷体" w:cs="楷体"/>
          <w:spacing w:val="-2"/>
          <w:sz w:val="32"/>
          <w:szCs w:val="32"/>
          <w:lang w:val="en-US" w:eastAsia="zh-CN"/>
        </w:rPr>
        <w:t>南京仲裁委员会办公室</w:t>
      </w:r>
    </w:p>
    <w:p w14:paraId="78673B9A">
      <w:pPr>
        <w:snapToGrid/>
        <w:spacing w:before="141"/>
        <w:ind w:left="2205" w:right="787" w:hanging="1486"/>
        <w:rPr>
          <w:rFonts w:ascii="宋体" w:hAnsi="宋体" w:eastAsia="宋体" w:cs="宋体"/>
          <w:spacing w:val="-2"/>
          <w:sz w:val="36"/>
          <w:szCs w:val="36"/>
        </w:rPr>
      </w:pPr>
    </w:p>
    <w:p w14:paraId="43360069">
      <w:pPr>
        <w:widowControl w:val="0"/>
        <w:autoSpaceDE/>
        <w:autoSpaceDN/>
        <w:spacing w:line="560" w:lineRule="exact"/>
        <w:ind w:firstLine="651" w:firstLineChars="200"/>
        <w:textAlignment w:val="auto"/>
        <w:outlineLvl w:val="0"/>
        <w:rPr>
          <w:rFonts w:ascii="黑体" w:hAnsi="黑体" w:eastAsia="黑体" w:cs="黑体"/>
          <w:sz w:val="32"/>
          <w:szCs w:val="32"/>
          <w:lang w:eastAsia="zh-CN"/>
        </w:rPr>
      </w:pPr>
      <w:r>
        <w:rPr>
          <w:rFonts w:ascii="黑体" w:hAnsi="黑体" w:eastAsia="黑体" w:cs="黑体"/>
          <w:b/>
          <w:bCs/>
          <w:spacing w:val="2"/>
          <w:sz w:val="32"/>
          <w:szCs w:val="32"/>
          <w:lang w:eastAsia="zh-CN"/>
        </w:rPr>
        <w:t>一、部门概况</w:t>
      </w:r>
    </w:p>
    <w:p w14:paraId="2448BE5F">
      <w:pPr>
        <w:widowControl w:val="0"/>
        <w:autoSpaceDE/>
        <w:autoSpaceDN/>
        <w:spacing w:line="560" w:lineRule="exact"/>
        <w:ind w:firstLine="651" w:firstLineChars="200"/>
        <w:textAlignment w:val="auto"/>
        <w:outlineLvl w:val="1"/>
        <w:rPr>
          <w:rFonts w:ascii="楷体" w:hAnsi="楷体" w:eastAsia="楷体" w:cs="楷体"/>
          <w:sz w:val="32"/>
          <w:szCs w:val="32"/>
          <w:lang w:eastAsia="zh-CN"/>
        </w:rPr>
      </w:pPr>
      <w:r>
        <w:rPr>
          <w:rFonts w:ascii="楷体" w:hAnsi="楷体" w:eastAsia="楷体" w:cs="楷体"/>
          <w:b/>
          <w:bCs/>
          <w:spacing w:val="2"/>
          <w:sz w:val="32"/>
          <w:szCs w:val="32"/>
          <w:lang w:eastAsia="zh-CN"/>
        </w:rPr>
        <w:t>（一）部门基本情况</w:t>
      </w:r>
    </w:p>
    <w:p w14:paraId="686C4300">
      <w:pPr>
        <w:pStyle w:val="2"/>
        <w:widowControl w:val="0"/>
        <w:autoSpaceDE/>
        <w:autoSpaceDN/>
        <w:spacing w:line="560" w:lineRule="exact"/>
        <w:ind w:firstLine="631" w:firstLineChars="200"/>
        <w:textAlignment w:val="auto"/>
        <w:outlineLvl w:val="2"/>
        <w:rPr>
          <w:rFonts w:hint="default"/>
          <w:sz w:val="32"/>
          <w:szCs w:val="32"/>
          <w:lang w:val="en-US" w:eastAsia="zh-CN"/>
        </w:rPr>
      </w:pPr>
      <w:r>
        <w:rPr>
          <w:b/>
          <w:bCs/>
          <w:spacing w:val="-3"/>
          <w:sz w:val="32"/>
          <w:szCs w:val="32"/>
          <w:lang w:eastAsia="zh-CN"/>
        </w:rPr>
        <w:t>1、基本情况</w:t>
      </w:r>
      <w:r>
        <w:rPr>
          <w:rFonts w:hint="eastAsia"/>
          <w:b/>
          <w:bCs/>
          <w:spacing w:val="-3"/>
          <w:sz w:val="32"/>
          <w:szCs w:val="32"/>
          <w:lang w:val="en-US" w:eastAsia="zh-CN"/>
        </w:rPr>
        <w:t xml:space="preserve">  </w:t>
      </w:r>
    </w:p>
    <w:p w14:paraId="04F3BBB0">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南京仲裁委员会是由南京市人民政府于1998年依据《中华人民共和国仲裁法》成立的，系解决平等主体的自然人、法人和其他组织之间发生的合同纠纷和其他财产权益纠纷的常设仲裁机构。</w:t>
      </w:r>
    </w:p>
    <w:p w14:paraId="50581EDF">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南京仲裁委员会办公室是南京仲裁委员会的日常办事机构，为正局级全额拨款事业单位，公益二类。无下属单位。</w:t>
      </w:r>
    </w:p>
    <w:p w14:paraId="4DFD45AF">
      <w:pPr>
        <w:pStyle w:val="2"/>
        <w:widowControl w:val="0"/>
        <w:autoSpaceDE/>
        <w:autoSpaceDN/>
        <w:spacing w:line="560" w:lineRule="exact"/>
        <w:ind w:firstLine="631" w:firstLineChars="200"/>
        <w:textAlignment w:val="auto"/>
        <w:outlineLvl w:val="2"/>
        <w:rPr>
          <w:b/>
          <w:bCs/>
          <w:spacing w:val="-3"/>
          <w:sz w:val="32"/>
          <w:szCs w:val="32"/>
          <w:lang w:eastAsia="zh-CN"/>
        </w:rPr>
      </w:pPr>
      <w:r>
        <w:rPr>
          <w:b/>
          <w:bCs/>
          <w:spacing w:val="-3"/>
          <w:sz w:val="32"/>
          <w:szCs w:val="32"/>
          <w:lang w:eastAsia="zh-CN"/>
        </w:rPr>
        <w:t>2、部门职能</w:t>
      </w:r>
    </w:p>
    <w:p w14:paraId="43284AC6">
      <w:pPr>
        <w:pStyle w:val="2"/>
        <w:widowControl w:val="0"/>
        <w:autoSpaceDE/>
        <w:autoSpaceDN/>
        <w:spacing w:line="560" w:lineRule="exact"/>
        <w:ind w:firstLine="640" w:firstLineChars="200"/>
        <w:textAlignment w:val="auto"/>
        <w:outlineLvl w:val="2"/>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根据《仲裁法》等法律、文件精神，我办的主要职责是承担对平等主体的自然人、法人和其他组织之间的合同纠纷、其他财产权益纠纷等仲裁案件的受理和立案审查工作；以及根据章程、规则，承担案件办理、程序管理、裁判文书核阅和仲裁过程中的其他事务性工作。</w:t>
      </w:r>
      <w:r>
        <w:rPr>
          <w:rFonts w:hint="eastAsia" w:ascii="仿宋_GB2312" w:hAnsi="仿宋_GB2312" w:eastAsia="仿宋_GB2312" w:cs="仿宋_GB2312"/>
          <w:snapToGrid/>
          <w:kern w:val="2"/>
          <w:sz w:val="32"/>
          <w:szCs w:val="32"/>
          <w:lang w:val="en-US" w:eastAsia="zh-CN"/>
        </w:rPr>
        <w:t xml:space="preserve">   </w:t>
      </w:r>
    </w:p>
    <w:p w14:paraId="6D18E80D">
      <w:pPr>
        <w:pStyle w:val="2"/>
        <w:widowControl w:val="0"/>
        <w:autoSpaceDE/>
        <w:autoSpaceDN/>
        <w:spacing w:line="560" w:lineRule="exact"/>
        <w:ind w:firstLine="631" w:firstLineChars="200"/>
        <w:textAlignment w:val="auto"/>
        <w:outlineLvl w:val="2"/>
        <w:rPr>
          <w:b/>
          <w:bCs/>
          <w:spacing w:val="-3"/>
          <w:sz w:val="32"/>
          <w:szCs w:val="32"/>
          <w:lang w:eastAsia="zh-CN"/>
        </w:rPr>
      </w:pPr>
      <w:r>
        <w:rPr>
          <w:b/>
          <w:bCs/>
          <w:spacing w:val="-3"/>
          <w:sz w:val="32"/>
          <w:szCs w:val="32"/>
          <w:lang w:eastAsia="zh-CN"/>
        </w:rPr>
        <w:t>3、内设机构和人员构成情况</w:t>
      </w:r>
    </w:p>
    <w:p w14:paraId="5BAB7CD0">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根据《关于同意调整南京仲裁委员会办公室机构编制事项的批复》(宁编复〔2021〕7号)等编制文件,我办内设5个机构，包括：综合部、立案和发展部、案件承办一部、案件承办二部、国际仲裁部(网络仲裁部),无下属单位。</w:t>
      </w:r>
    </w:p>
    <w:p w14:paraId="0C66B6A8">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核定事业编制2</w:t>
      </w:r>
      <w:r>
        <w:rPr>
          <w:rFonts w:hint="eastAsia" w:ascii="仿宋_GB2312" w:hAnsi="仿宋_GB2312" w:eastAsia="仿宋_GB2312" w:cs="仿宋_GB2312"/>
          <w:snapToGrid/>
          <w:kern w:val="2"/>
          <w:sz w:val="32"/>
          <w:szCs w:val="32"/>
          <w:lang w:val="en-US" w:eastAsia="zh-CN"/>
        </w:rPr>
        <w:t>9</w:t>
      </w:r>
      <w:r>
        <w:rPr>
          <w:rFonts w:hint="eastAsia" w:ascii="仿宋_GB2312" w:hAnsi="仿宋_GB2312" w:eastAsia="仿宋_GB2312" w:cs="仿宋_GB2312"/>
          <w:snapToGrid/>
          <w:kern w:val="2"/>
          <w:sz w:val="32"/>
          <w:szCs w:val="32"/>
          <w:lang w:eastAsia="zh-CN"/>
        </w:rPr>
        <w:t>个，编外员额制辅助用工9个。截至202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年底，实有工作人员3</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人，其中：事业编制2</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lang w:eastAsia="zh-CN"/>
        </w:rPr>
        <w:t>人，编</w:t>
      </w:r>
      <w:bookmarkStart w:id="0" w:name="bookmark4"/>
      <w:bookmarkEnd w:id="0"/>
      <w:r>
        <w:rPr>
          <w:rFonts w:hint="eastAsia" w:ascii="仿宋_GB2312" w:hAnsi="仿宋_GB2312" w:eastAsia="仿宋_GB2312" w:cs="仿宋_GB2312"/>
          <w:snapToGrid/>
          <w:kern w:val="2"/>
          <w:sz w:val="32"/>
          <w:szCs w:val="32"/>
          <w:lang w:eastAsia="zh-CN"/>
        </w:rPr>
        <w:t>外员额制辅助用工</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lang w:eastAsia="zh-CN"/>
        </w:rPr>
        <w:t>人。详见表</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w:t>
      </w:r>
    </w:p>
    <w:p w14:paraId="0251200E">
      <w:pPr>
        <w:widowControl w:val="0"/>
        <w:kinsoku/>
        <w:autoSpaceDE/>
        <w:autoSpaceDN/>
        <w:adjustRightInd/>
        <w:snapToGrid/>
        <w:spacing w:line="560" w:lineRule="exact"/>
        <w:ind w:firstLine="560" w:firstLineChars="200"/>
        <w:contextualSpacing/>
        <w:jc w:val="center"/>
        <w:textAlignment w:val="auto"/>
        <w:rPr>
          <w:rFonts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表</w:t>
      </w:r>
      <w:r>
        <w:rPr>
          <w:rFonts w:hint="eastAsia" w:ascii="仿宋_GB2312" w:hAnsi="仿宋_GB2312" w:eastAsia="仿宋_GB2312" w:cs="仿宋_GB2312"/>
          <w:snapToGrid/>
          <w:kern w:val="2"/>
          <w:sz w:val="28"/>
          <w:szCs w:val="28"/>
          <w:lang w:val="en-US" w:eastAsia="zh-CN"/>
        </w:rPr>
        <w:t>1</w:t>
      </w:r>
      <w:r>
        <w:rPr>
          <w:rFonts w:hint="eastAsia" w:ascii="仿宋_GB2312" w:hAnsi="仿宋_GB2312" w:eastAsia="仿宋_GB2312" w:cs="仿宋_GB2312"/>
          <w:snapToGrid/>
          <w:kern w:val="2"/>
          <w:sz w:val="28"/>
          <w:szCs w:val="28"/>
          <w:lang w:eastAsia="zh-CN"/>
        </w:rPr>
        <w:t>：仲裁办内设机构职责及在职在编人员构成情况一览表</w:t>
      </w:r>
    </w:p>
    <w:p w14:paraId="08F2C264">
      <w:pPr>
        <w:spacing w:line="33" w:lineRule="exact"/>
        <w:rPr>
          <w:lang w:eastAsia="zh-CN"/>
        </w:rPr>
      </w:pPr>
    </w:p>
    <w:tbl>
      <w:tblPr>
        <w:tblStyle w:val="8"/>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5896"/>
        <w:gridCol w:w="1038"/>
      </w:tblGrid>
      <w:tr w14:paraId="22D67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897" w:type="pct"/>
            <w:shd w:val="clear" w:color="auto" w:fill="B6B8BB"/>
            <w:vAlign w:val="center"/>
          </w:tcPr>
          <w:p w14:paraId="0B65223A">
            <w:pPr>
              <w:jc w:val="center"/>
              <w:rPr>
                <w:rFonts w:hint="eastAsia" w:ascii="仿宋" w:hAnsi="仿宋" w:eastAsia="仿宋" w:cs="仿宋"/>
                <w:sz w:val="24"/>
                <w:szCs w:val="24"/>
              </w:rPr>
            </w:pPr>
            <w:r>
              <w:rPr>
                <w:rFonts w:hint="eastAsia" w:ascii="仿宋" w:hAnsi="仿宋" w:eastAsia="仿宋" w:cs="仿宋"/>
                <w:sz w:val="24"/>
                <w:szCs w:val="24"/>
              </w:rPr>
              <w:t>内设机构名称</w:t>
            </w:r>
          </w:p>
        </w:tc>
        <w:tc>
          <w:tcPr>
            <w:tcW w:w="3488" w:type="pct"/>
            <w:shd w:val="clear" w:color="auto" w:fill="B7B8BB"/>
            <w:vAlign w:val="center"/>
          </w:tcPr>
          <w:p w14:paraId="65990081">
            <w:pPr>
              <w:jc w:val="center"/>
              <w:rPr>
                <w:rFonts w:hint="eastAsia" w:ascii="仿宋" w:hAnsi="仿宋" w:eastAsia="仿宋" w:cs="仿宋"/>
                <w:sz w:val="24"/>
                <w:szCs w:val="24"/>
              </w:rPr>
            </w:pPr>
            <w:r>
              <w:rPr>
                <w:rFonts w:hint="eastAsia" w:ascii="仿宋" w:hAnsi="仿宋" w:eastAsia="仿宋" w:cs="仿宋"/>
                <w:sz w:val="24"/>
                <w:szCs w:val="24"/>
              </w:rPr>
              <w:t>主要职能</w:t>
            </w:r>
          </w:p>
        </w:tc>
        <w:tc>
          <w:tcPr>
            <w:tcW w:w="614" w:type="pct"/>
            <w:shd w:val="clear" w:color="auto" w:fill="B7B8BB"/>
            <w:vAlign w:val="center"/>
          </w:tcPr>
          <w:p w14:paraId="1822CD30">
            <w:pPr>
              <w:jc w:val="center"/>
              <w:rPr>
                <w:rFonts w:hint="eastAsia" w:ascii="仿宋" w:hAnsi="仿宋" w:eastAsia="仿宋" w:cs="仿宋"/>
                <w:sz w:val="24"/>
                <w:szCs w:val="24"/>
              </w:rPr>
            </w:pPr>
            <w:r>
              <w:rPr>
                <w:rFonts w:hint="eastAsia" w:ascii="仿宋" w:hAnsi="仿宋" w:eastAsia="仿宋" w:cs="仿宋"/>
                <w:sz w:val="24"/>
                <w:szCs w:val="24"/>
              </w:rPr>
              <w:t>人员配置</w:t>
            </w:r>
          </w:p>
        </w:tc>
      </w:tr>
      <w:tr w14:paraId="4E41B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97" w:type="pct"/>
            <w:vAlign w:val="center"/>
          </w:tcPr>
          <w:p w14:paraId="7B3BAEE0">
            <w:pPr>
              <w:jc w:val="center"/>
              <w:rPr>
                <w:rFonts w:hint="eastAsia" w:ascii="仿宋" w:hAnsi="仿宋" w:eastAsia="仿宋" w:cs="仿宋"/>
                <w:sz w:val="24"/>
                <w:szCs w:val="24"/>
              </w:rPr>
            </w:pPr>
            <w:r>
              <w:rPr>
                <w:rFonts w:hint="eastAsia" w:ascii="仿宋" w:hAnsi="仿宋" w:eastAsia="仿宋" w:cs="仿宋"/>
                <w:sz w:val="24"/>
                <w:szCs w:val="24"/>
              </w:rPr>
              <w:t>部门</w:t>
            </w:r>
            <w:r>
              <w:rPr>
                <w:rFonts w:hint="eastAsia" w:ascii="仿宋" w:hAnsi="仿宋" w:eastAsia="仿宋" w:cs="仿宋"/>
                <w:sz w:val="24"/>
                <w:szCs w:val="24"/>
                <w:lang w:eastAsia="zh-CN"/>
              </w:rPr>
              <w:t>以上</w:t>
            </w:r>
            <w:r>
              <w:rPr>
                <w:rFonts w:hint="eastAsia" w:ascii="仿宋" w:hAnsi="仿宋" w:eastAsia="仿宋" w:cs="仿宋"/>
                <w:sz w:val="24"/>
                <w:szCs w:val="24"/>
              </w:rPr>
              <w:t>领导</w:t>
            </w:r>
          </w:p>
        </w:tc>
        <w:tc>
          <w:tcPr>
            <w:tcW w:w="3488" w:type="pct"/>
            <w:vAlign w:val="center"/>
          </w:tcPr>
          <w:p w14:paraId="704748B0">
            <w:pPr>
              <w:rPr>
                <w:rFonts w:hint="eastAsia" w:ascii="仿宋" w:hAnsi="仿宋" w:eastAsia="仿宋" w:cs="仿宋"/>
                <w:sz w:val="24"/>
                <w:szCs w:val="24"/>
                <w:lang w:eastAsia="zh-CN"/>
              </w:rPr>
            </w:pPr>
            <w:r>
              <w:rPr>
                <w:rFonts w:hint="eastAsia" w:ascii="仿宋" w:hAnsi="仿宋" w:eastAsia="仿宋" w:cs="仿宋"/>
                <w:sz w:val="24"/>
                <w:szCs w:val="24"/>
                <w:lang w:eastAsia="zh-CN"/>
              </w:rPr>
              <w:t>负责部门决策和总体管理。</w:t>
            </w:r>
          </w:p>
        </w:tc>
        <w:tc>
          <w:tcPr>
            <w:tcW w:w="614" w:type="pct"/>
            <w:vAlign w:val="center"/>
          </w:tcPr>
          <w:p w14:paraId="600E9F1F">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8</w:t>
            </w:r>
          </w:p>
        </w:tc>
      </w:tr>
      <w:tr w14:paraId="656A3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97" w:type="pct"/>
            <w:vAlign w:val="center"/>
          </w:tcPr>
          <w:p w14:paraId="316DDBB0">
            <w:pPr>
              <w:jc w:val="center"/>
              <w:rPr>
                <w:rFonts w:hint="eastAsia" w:ascii="仿宋" w:hAnsi="仿宋" w:eastAsia="仿宋" w:cs="仿宋"/>
                <w:sz w:val="24"/>
                <w:szCs w:val="24"/>
              </w:rPr>
            </w:pPr>
            <w:r>
              <w:rPr>
                <w:rFonts w:hint="eastAsia" w:ascii="仿宋" w:hAnsi="仿宋" w:eastAsia="仿宋" w:cs="仿宋"/>
                <w:sz w:val="24"/>
                <w:szCs w:val="24"/>
              </w:rPr>
              <w:t>综合部</w:t>
            </w:r>
          </w:p>
        </w:tc>
        <w:tc>
          <w:tcPr>
            <w:tcW w:w="3488" w:type="pct"/>
            <w:vAlign w:val="center"/>
          </w:tcPr>
          <w:p w14:paraId="64A61902">
            <w:pPr>
              <w:rPr>
                <w:rFonts w:hint="eastAsia" w:ascii="仿宋" w:hAnsi="仿宋" w:eastAsia="仿宋" w:cs="仿宋"/>
                <w:sz w:val="24"/>
                <w:szCs w:val="24"/>
                <w:lang w:eastAsia="zh-CN"/>
              </w:rPr>
            </w:pPr>
            <w:r>
              <w:rPr>
                <w:rFonts w:hint="eastAsia" w:ascii="仿宋" w:hAnsi="仿宋" w:eastAsia="仿宋" w:cs="仿宋"/>
                <w:sz w:val="24"/>
                <w:szCs w:val="24"/>
                <w:lang w:eastAsia="zh-CN"/>
              </w:rPr>
              <w:t>主要负责文秘、机要、人事、财务及后勤服务等工作。</w:t>
            </w:r>
          </w:p>
        </w:tc>
        <w:tc>
          <w:tcPr>
            <w:tcW w:w="614" w:type="pct"/>
            <w:vAlign w:val="center"/>
          </w:tcPr>
          <w:p w14:paraId="4CF8DD7F">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r>
      <w:tr w14:paraId="7AA11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897" w:type="pct"/>
            <w:vAlign w:val="center"/>
          </w:tcPr>
          <w:p w14:paraId="5725BF50">
            <w:pPr>
              <w:jc w:val="center"/>
              <w:rPr>
                <w:rFonts w:hint="eastAsia" w:ascii="仿宋" w:hAnsi="仿宋" w:eastAsia="仿宋" w:cs="仿宋"/>
                <w:sz w:val="24"/>
                <w:szCs w:val="24"/>
              </w:rPr>
            </w:pPr>
            <w:r>
              <w:rPr>
                <w:rFonts w:hint="eastAsia" w:ascii="仿宋" w:hAnsi="仿宋" w:eastAsia="仿宋" w:cs="仿宋"/>
                <w:sz w:val="24"/>
                <w:szCs w:val="24"/>
              </w:rPr>
              <w:t>立案和发展部</w:t>
            </w:r>
          </w:p>
        </w:tc>
        <w:tc>
          <w:tcPr>
            <w:tcW w:w="3488" w:type="pct"/>
            <w:vAlign w:val="center"/>
          </w:tcPr>
          <w:p w14:paraId="5AB0C489">
            <w:pPr>
              <w:rPr>
                <w:rFonts w:hint="eastAsia" w:ascii="仿宋" w:hAnsi="仿宋" w:eastAsia="仿宋" w:cs="仿宋"/>
                <w:sz w:val="24"/>
                <w:szCs w:val="24"/>
                <w:lang w:eastAsia="zh-CN"/>
              </w:rPr>
            </w:pPr>
            <w:r>
              <w:rPr>
                <w:rFonts w:hint="eastAsia" w:ascii="仿宋" w:hAnsi="仿宋" w:eastAsia="仿宋" w:cs="仿宋"/>
                <w:sz w:val="24"/>
                <w:szCs w:val="24"/>
                <w:lang w:eastAsia="zh-CN"/>
              </w:rPr>
              <w:t>负责《仲裁法》规定范围内的仲裁案件的受案审查和接待咨询、宣传调研等工作。负责对仲裁员的日常联络、管理等工作。</w:t>
            </w:r>
          </w:p>
        </w:tc>
        <w:tc>
          <w:tcPr>
            <w:tcW w:w="614" w:type="pct"/>
            <w:vAlign w:val="center"/>
          </w:tcPr>
          <w:p w14:paraId="7F980504">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r>
      <w:tr w14:paraId="67E8D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7" w:type="pct"/>
            <w:vAlign w:val="center"/>
          </w:tcPr>
          <w:p w14:paraId="2A19C903">
            <w:pPr>
              <w:jc w:val="center"/>
              <w:rPr>
                <w:rFonts w:hint="eastAsia" w:ascii="仿宋" w:hAnsi="仿宋" w:eastAsia="仿宋" w:cs="仿宋"/>
                <w:sz w:val="24"/>
                <w:szCs w:val="24"/>
              </w:rPr>
            </w:pPr>
            <w:r>
              <w:rPr>
                <w:rFonts w:hint="eastAsia" w:ascii="仿宋" w:hAnsi="仿宋" w:eastAsia="仿宋" w:cs="仿宋"/>
                <w:sz w:val="24"/>
                <w:szCs w:val="24"/>
              </w:rPr>
              <w:t>案件承办一部</w:t>
            </w:r>
          </w:p>
        </w:tc>
        <w:tc>
          <w:tcPr>
            <w:tcW w:w="3488" w:type="pct"/>
            <w:vAlign w:val="center"/>
          </w:tcPr>
          <w:p w14:paraId="23A11473">
            <w:pPr>
              <w:rPr>
                <w:rFonts w:hint="eastAsia" w:ascii="仿宋" w:hAnsi="仿宋" w:eastAsia="仿宋" w:cs="仿宋"/>
                <w:sz w:val="24"/>
                <w:szCs w:val="24"/>
                <w:lang w:eastAsia="zh-CN"/>
              </w:rPr>
            </w:pPr>
            <w:r>
              <w:rPr>
                <w:rFonts w:hint="eastAsia" w:ascii="仿宋" w:hAnsi="仿宋" w:eastAsia="仿宋" w:cs="仿宋"/>
                <w:sz w:val="24"/>
                <w:szCs w:val="24"/>
                <w:lang w:eastAsia="zh-CN"/>
              </w:rPr>
              <w:t>负责已经立案的仲裁案件的事务性办理工作，包括承担组成仲裁庭、开庭记录、案件材料的取证、仲裁文书的送达以及仲裁案卷的整理工作。（建设工程、知识产权等方面）</w:t>
            </w:r>
          </w:p>
        </w:tc>
        <w:tc>
          <w:tcPr>
            <w:tcW w:w="614" w:type="pct"/>
            <w:vAlign w:val="center"/>
          </w:tcPr>
          <w:p w14:paraId="71CFEA87">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r>
      <w:tr w14:paraId="1D0F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897" w:type="pct"/>
            <w:vAlign w:val="center"/>
          </w:tcPr>
          <w:p w14:paraId="44DB270C">
            <w:pPr>
              <w:jc w:val="center"/>
              <w:rPr>
                <w:rFonts w:hint="eastAsia" w:ascii="仿宋" w:hAnsi="仿宋" w:eastAsia="仿宋" w:cs="仿宋"/>
                <w:sz w:val="24"/>
                <w:szCs w:val="24"/>
              </w:rPr>
            </w:pPr>
            <w:r>
              <w:rPr>
                <w:rFonts w:hint="eastAsia" w:ascii="仿宋" w:hAnsi="仿宋" w:eastAsia="仿宋" w:cs="仿宋"/>
                <w:sz w:val="24"/>
                <w:szCs w:val="24"/>
              </w:rPr>
              <w:t>案件承办二部</w:t>
            </w:r>
          </w:p>
        </w:tc>
        <w:tc>
          <w:tcPr>
            <w:tcW w:w="3488" w:type="pct"/>
            <w:vAlign w:val="center"/>
          </w:tcPr>
          <w:p w14:paraId="4210F406">
            <w:pPr>
              <w:rPr>
                <w:rFonts w:hint="eastAsia" w:ascii="仿宋" w:hAnsi="仿宋" w:eastAsia="仿宋" w:cs="仿宋"/>
                <w:sz w:val="24"/>
                <w:szCs w:val="24"/>
                <w:lang w:eastAsia="zh-CN"/>
              </w:rPr>
            </w:pPr>
            <w:r>
              <w:rPr>
                <w:rFonts w:hint="eastAsia" w:ascii="仿宋" w:hAnsi="仿宋" w:eastAsia="仿宋" w:cs="仿宋"/>
                <w:sz w:val="24"/>
                <w:szCs w:val="24"/>
                <w:lang w:eastAsia="zh-CN"/>
              </w:rPr>
              <w:t>负责已经立案的仲裁案件的事务性办理工作，包括承担组成仲裁庭、开庭记录、案件材料的取证、仲裁文书</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的送达以及仲裁案卷的整理工作。（金融、公司等方面）</w:t>
            </w:r>
          </w:p>
        </w:tc>
        <w:tc>
          <w:tcPr>
            <w:tcW w:w="614" w:type="pct"/>
            <w:vAlign w:val="center"/>
          </w:tcPr>
          <w:p w14:paraId="40F8E4DD">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r>
      <w:tr w14:paraId="1C239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97" w:type="pct"/>
            <w:vAlign w:val="center"/>
          </w:tcPr>
          <w:p w14:paraId="688CA35C">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国际仲裁部(网络仲裁部)</w:t>
            </w:r>
          </w:p>
        </w:tc>
        <w:tc>
          <w:tcPr>
            <w:tcW w:w="3488" w:type="pct"/>
            <w:vAlign w:val="center"/>
          </w:tcPr>
          <w:p w14:paraId="5C6691B4">
            <w:pPr>
              <w:rPr>
                <w:rFonts w:hint="eastAsia" w:ascii="仿宋" w:hAnsi="仿宋" w:eastAsia="仿宋" w:cs="仿宋"/>
                <w:sz w:val="24"/>
                <w:szCs w:val="24"/>
                <w:lang w:eastAsia="zh-CN"/>
              </w:rPr>
            </w:pPr>
            <w:r>
              <w:rPr>
                <w:rFonts w:hint="eastAsia" w:ascii="仿宋" w:hAnsi="仿宋" w:eastAsia="仿宋" w:cs="仿宋"/>
                <w:sz w:val="24"/>
                <w:szCs w:val="24"/>
                <w:lang w:eastAsia="zh-CN"/>
              </w:rPr>
              <w:t>承担国际仲裁和网络仲裁案件的立案、审理等事务性工作。</w:t>
            </w:r>
          </w:p>
        </w:tc>
        <w:tc>
          <w:tcPr>
            <w:tcW w:w="614" w:type="pct"/>
            <w:vAlign w:val="center"/>
          </w:tcPr>
          <w:p w14:paraId="442DC6AE">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r>
    </w:tbl>
    <w:p w14:paraId="05D19B00">
      <w:pPr>
        <w:pStyle w:val="2"/>
        <w:widowControl w:val="0"/>
        <w:autoSpaceDE/>
        <w:autoSpaceDN/>
        <w:spacing w:line="560" w:lineRule="exact"/>
        <w:ind w:firstLine="631" w:firstLineChars="200"/>
        <w:textAlignment w:val="auto"/>
        <w:outlineLvl w:val="2"/>
        <w:rPr>
          <w:b/>
          <w:bCs/>
          <w:spacing w:val="-3"/>
          <w:sz w:val="32"/>
          <w:szCs w:val="32"/>
        </w:rPr>
      </w:pPr>
      <w:r>
        <w:rPr>
          <w:b/>
          <w:bCs/>
          <w:spacing w:val="-3"/>
          <w:sz w:val="32"/>
          <w:szCs w:val="32"/>
        </w:rPr>
        <w:t>4、资产情况</w:t>
      </w:r>
    </w:p>
    <w:p w14:paraId="3936D150">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截至202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年12月31日，资产总额</w:t>
      </w:r>
      <w:r>
        <w:rPr>
          <w:rFonts w:hint="eastAsia" w:ascii="仿宋_GB2312" w:hAnsi="仿宋_GB2312" w:eastAsia="仿宋_GB2312" w:cs="仿宋_GB2312"/>
          <w:snapToGrid/>
          <w:kern w:val="2"/>
          <w:sz w:val="32"/>
          <w:szCs w:val="32"/>
          <w:lang w:val="en-US" w:eastAsia="zh-CN"/>
        </w:rPr>
        <w:t>326.35</w:t>
      </w:r>
      <w:r>
        <w:rPr>
          <w:rFonts w:hint="eastAsia" w:ascii="仿宋_GB2312" w:hAnsi="仿宋_GB2312" w:eastAsia="仿宋_GB2312" w:cs="仿宋_GB2312"/>
          <w:snapToGrid/>
          <w:kern w:val="2"/>
          <w:sz w:val="32"/>
          <w:szCs w:val="32"/>
          <w:lang w:eastAsia="zh-CN"/>
        </w:rPr>
        <w:t>万元，其中流动资产</w:t>
      </w:r>
      <w:r>
        <w:rPr>
          <w:rFonts w:hint="eastAsia" w:ascii="仿宋_GB2312" w:hAnsi="仿宋_GB2312" w:eastAsia="仿宋_GB2312" w:cs="仿宋_GB2312"/>
          <w:snapToGrid/>
          <w:kern w:val="2"/>
          <w:sz w:val="32"/>
          <w:szCs w:val="32"/>
          <w:lang w:val="en-US" w:eastAsia="zh-CN"/>
        </w:rPr>
        <w:t>22.53</w:t>
      </w:r>
      <w:r>
        <w:rPr>
          <w:rFonts w:hint="eastAsia" w:ascii="仿宋_GB2312" w:hAnsi="仿宋_GB2312" w:eastAsia="仿宋_GB2312" w:cs="仿宋_GB2312"/>
          <w:snapToGrid/>
          <w:kern w:val="2"/>
          <w:sz w:val="32"/>
          <w:szCs w:val="32"/>
          <w:lang w:eastAsia="zh-CN"/>
        </w:rPr>
        <w:t>万元，非流动资产</w:t>
      </w:r>
      <w:r>
        <w:rPr>
          <w:rFonts w:hint="eastAsia" w:ascii="仿宋_GB2312" w:hAnsi="仿宋_GB2312" w:eastAsia="仿宋_GB2312" w:cs="仿宋_GB2312"/>
          <w:snapToGrid/>
          <w:kern w:val="2"/>
          <w:sz w:val="32"/>
          <w:szCs w:val="32"/>
          <w:lang w:val="en-US" w:eastAsia="zh-CN"/>
        </w:rPr>
        <w:t>303.82</w:t>
      </w:r>
      <w:r>
        <w:rPr>
          <w:rFonts w:hint="eastAsia" w:ascii="仿宋_GB2312" w:hAnsi="仿宋_GB2312" w:eastAsia="仿宋_GB2312" w:cs="仿宋_GB2312"/>
          <w:snapToGrid/>
          <w:kern w:val="2"/>
          <w:sz w:val="32"/>
          <w:szCs w:val="32"/>
          <w:lang w:eastAsia="zh-CN"/>
        </w:rPr>
        <w:t>万元；固定资产原值为</w:t>
      </w:r>
      <w:r>
        <w:rPr>
          <w:rFonts w:hint="eastAsia" w:ascii="仿宋_GB2312" w:hAnsi="仿宋_GB2312" w:eastAsia="仿宋_GB2312" w:cs="仿宋_GB2312"/>
          <w:snapToGrid/>
          <w:kern w:val="2"/>
          <w:sz w:val="32"/>
          <w:szCs w:val="32"/>
          <w:lang w:val="en-US" w:eastAsia="zh-CN"/>
        </w:rPr>
        <w:t>562.22</w:t>
      </w:r>
      <w:r>
        <w:rPr>
          <w:rFonts w:hint="eastAsia" w:ascii="仿宋_GB2312" w:hAnsi="仿宋_GB2312" w:eastAsia="仿宋_GB2312" w:cs="仿宋_GB2312"/>
          <w:snapToGrid/>
          <w:kern w:val="2"/>
          <w:sz w:val="32"/>
          <w:szCs w:val="32"/>
          <w:lang w:eastAsia="zh-CN"/>
        </w:rPr>
        <w:t>万元，净值为</w:t>
      </w:r>
      <w:r>
        <w:rPr>
          <w:rFonts w:hint="eastAsia" w:ascii="仿宋_GB2312" w:hAnsi="仿宋_GB2312" w:eastAsia="仿宋_GB2312" w:cs="仿宋_GB2312"/>
          <w:snapToGrid/>
          <w:kern w:val="2"/>
          <w:sz w:val="32"/>
          <w:szCs w:val="32"/>
          <w:lang w:val="en-US" w:eastAsia="zh-CN"/>
        </w:rPr>
        <w:t>256.95</w:t>
      </w:r>
      <w:r>
        <w:rPr>
          <w:rFonts w:hint="eastAsia" w:ascii="仿宋_GB2312" w:hAnsi="仿宋_GB2312" w:eastAsia="仿宋_GB2312" w:cs="仿宋_GB2312"/>
          <w:snapToGrid/>
          <w:kern w:val="2"/>
          <w:sz w:val="32"/>
          <w:szCs w:val="32"/>
          <w:lang w:eastAsia="zh-CN"/>
        </w:rPr>
        <w:t>万元；无形资产原值为</w:t>
      </w:r>
      <w:r>
        <w:rPr>
          <w:rFonts w:hint="eastAsia" w:ascii="仿宋_GB2312" w:hAnsi="仿宋_GB2312" w:eastAsia="仿宋_GB2312" w:cs="仿宋_GB2312"/>
          <w:snapToGrid/>
          <w:kern w:val="2"/>
          <w:sz w:val="32"/>
          <w:szCs w:val="32"/>
          <w:lang w:val="en-US" w:eastAsia="zh-CN"/>
        </w:rPr>
        <w:t>102.05</w:t>
      </w:r>
      <w:r>
        <w:rPr>
          <w:rFonts w:hint="eastAsia" w:ascii="仿宋_GB2312" w:hAnsi="仿宋_GB2312" w:eastAsia="仿宋_GB2312" w:cs="仿宋_GB2312"/>
          <w:snapToGrid/>
          <w:kern w:val="2"/>
          <w:sz w:val="32"/>
          <w:szCs w:val="32"/>
          <w:lang w:eastAsia="zh-CN"/>
        </w:rPr>
        <w:t>万元，净值为</w:t>
      </w:r>
      <w:r>
        <w:rPr>
          <w:rFonts w:hint="eastAsia" w:ascii="仿宋_GB2312" w:hAnsi="仿宋_GB2312" w:eastAsia="仿宋_GB2312" w:cs="仿宋_GB2312"/>
          <w:snapToGrid/>
          <w:kern w:val="2"/>
          <w:sz w:val="32"/>
          <w:szCs w:val="32"/>
          <w:lang w:val="en-US" w:eastAsia="zh-CN"/>
        </w:rPr>
        <w:t>46.87</w:t>
      </w:r>
      <w:r>
        <w:rPr>
          <w:rFonts w:hint="eastAsia" w:ascii="仿宋_GB2312" w:hAnsi="仿宋_GB2312" w:eastAsia="仿宋_GB2312" w:cs="仿宋_GB2312"/>
          <w:snapToGrid/>
          <w:kern w:val="2"/>
          <w:sz w:val="32"/>
          <w:szCs w:val="32"/>
          <w:lang w:eastAsia="zh-CN"/>
        </w:rPr>
        <w:t>万元，为仲裁信息管理系统1套。详见表</w:t>
      </w: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w:t>
      </w:r>
    </w:p>
    <w:p w14:paraId="2F031C1A">
      <w:pPr>
        <w:widowControl w:val="0"/>
        <w:kinsoku/>
        <w:autoSpaceDE/>
        <w:autoSpaceDN/>
        <w:adjustRightInd/>
        <w:snapToGrid/>
        <w:spacing w:line="560" w:lineRule="exact"/>
        <w:contextualSpacing/>
        <w:jc w:val="center"/>
        <w:textAlignment w:val="auto"/>
        <w:rPr>
          <w:rFonts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表</w:t>
      </w:r>
      <w:r>
        <w:rPr>
          <w:rFonts w:hint="eastAsia" w:ascii="仿宋_GB2312" w:hAnsi="仿宋_GB2312" w:eastAsia="仿宋_GB2312" w:cs="仿宋_GB2312"/>
          <w:snapToGrid/>
          <w:kern w:val="2"/>
          <w:sz w:val="28"/>
          <w:szCs w:val="28"/>
          <w:lang w:val="en-US" w:eastAsia="zh-CN"/>
        </w:rPr>
        <w:t>2</w:t>
      </w:r>
      <w:r>
        <w:rPr>
          <w:rFonts w:hint="eastAsia" w:ascii="仿宋_GB2312" w:hAnsi="仿宋_GB2312" w:eastAsia="仿宋_GB2312" w:cs="仿宋_GB2312"/>
          <w:snapToGrid/>
          <w:kern w:val="2"/>
          <w:sz w:val="28"/>
          <w:szCs w:val="28"/>
          <w:lang w:eastAsia="zh-CN"/>
        </w:rPr>
        <w:t>:202</w:t>
      </w:r>
      <w:r>
        <w:rPr>
          <w:rFonts w:hint="eastAsia" w:ascii="仿宋_GB2312" w:hAnsi="仿宋_GB2312" w:eastAsia="仿宋_GB2312" w:cs="仿宋_GB2312"/>
          <w:snapToGrid/>
          <w:kern w:val="2"/>
          <w:sz w:val="28"/>
          <w:szCs w:val="28"/>
          <w:lang w:val="en-US" w:eastAsia="zh-CN"/>
        </w:rPr>
        <w:t>4</w:t>
      </w:r>
      <w:r>
        <w:rPr>
          <w:rFonts w:hint="eastAsia" w:ascii="仿宋_GB2312" w:hAnsi="仿宋_GB2312" w:eastAsia="仿宋_GB2312" w:cs="仿宋_GB2312"/>
          <w:snapToGrid/>
          <w:kern w:val="2"/>
          <w:sz w:val="28"/>
          <w:szCs w:val="28"/>
          <w:lang w:eastAsia="zh-CN"/>
        </w:rPr>
        <w:t>年仲裁办资产情况一览表</w:t>
      </w:r>
    </w:p>
    <w:tbl>
      <w:tblPr>
        <w:tblStyle w:val="8"/>
        <w:tblpPr w:leftFromText="180" w:rightFromText="180" w:vertAnchor="text" w:horzAnchor="page" w:tblpX="1762" w:tblpY="2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52"/>
        <w:gridCol w:w="1749"/>
        <w:gridCol w:w="1557"/>
        <w:gridCol w:w="1982"/>
      </w:tblGrid>
      <w:tr w14:paraId="611A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867" w:type="pct"/>
            <w:shd w:val="clear" w:color="auto" w:fill="BEBEBE" w:themeFill="background1" w:themeFillShade="BF"/>
          </w:tcPr>
          <w:p w14:paraId="58041F89">
            <w:pPr>
              <w:rPr>
                <w:rFonts w:hint="eastAsia" w:ascii="仿宋" w:hAnsi="仿宋" w:eastAsia="仿宋" w:cs="仿宋"/>
                <w:sz w:val="24"/>
                <w:szCs w:val="24"/>
              </w:rPr>
            </w:pPr>
          </w:p>
        </w:tc>
        <w:tc>
          <w:tcPr>
            <w:tcW w:w="1036" w:type="pct"/>
            <w:shd w:val="clear" w:color="auto" w:fill="BEBEBE" w:themeFill="background1" w:themeFillShade="BF"/>
          </w:tcPr>
          <w:p w14:paraId="4837A5BE">
            <w:pPr>
              <w:spacing w:before="38" w:line="209" w:lineRule="auto"/>
              <w:ind w:left="122"/>
              <w:rPr>
                <w:rFonts w:hint="eastAsia" w:ascii="仿宋" w:hAnsi="仿宋" w:eastAsia="仿宋" w:cs="仿宋"/>
                <w:sz w:val="24"/>
                <w:szCs w:val="24"/>
              </w:rPr>
            </w:pPr>
            <w:r>
              <w:rPr>
                <w:rFonts w:hint="eastAsia" w:ascii="仿宋" w:hAnsi="仿宋" w:eastAsia="仿宋" w:cs="仿宋"/>
                <w:spacing w:val="-5"/>
                <w:sz w:val="24"/>
                <w:szCs w:val="24"/>
              </w:rPr>
              <w:t>原值（万元）</w:t>
            </w:r>
          </w:p>
        </w:tc>
        <w:tc>
          <w:tcPr>
            <w:tcW w:w="922" w:type="pct"/>
            <w:shd w:val="clear" w:color="auto" w:fill="BEBEBE" w:themeFill="background1" w:themeFillShade="BF"/>
          </w:tcPr>
          <w:p w14:paraId="69F47F92">
            <w:pPr>
              <w:spacing w:before="38" w:line="209" w:lineRule="auto"/>
              <w:ind w:left="119"/>
              <w:rPr>
                <w:rFonts w:hint="eastAsia" w:ascii="仿宋" w:hAnsi="仿宋" w:eastAsia="仿宋" w:cs="仿宋"/>
                <w:sz w:val="24"/>
                <w:szCs w:val="24"/>
              </w:rPr>
            </w:pPr>
            <w:r>
              <w:rPr>
                <w:rFonts w:hint="eastAsia" w:ascii="仿宋" w:hAnsi="仿宋" w:eastAsia="仿宋" w:cs="仿宋"/>
                <w:spacing w:val="-4"/>
                <w:sz w:val="24"/>
                <w:szCs w:val="24"/>
              </w:rPr>
              <w:t>净值（万元）</w:t>
            </w:r>
          </w:p>
        </w:tc>
        <w:tc>
          <w:tcPr>
            <w:tcW w:w="1174" w:type="pct"/>
            <w:shd w:val="clear" w:color="auto" w:fill="BEBEBE" w:themeFill="background1" w:themeFillShade="BF"/>
          </w:tcPr>
          <w:p w14:paraId="36AEF5D3">
            <w:pPr>
              <w:spacing w:before="38" w:line="209" w:lineRule="auto"/>
              <w:jc w:val="center"/>
              <w:rPr>
                <w:rFonts w:hint="eastAsia" w:ascii="仿宋" w:hAnsi="仿宋" w:eastAsia="仿宋" w:cs="仿宋"/>
                <w:sz w:val="24"/>
                <w:szCs w:val="24"/>
              </w:rPr>
            </w:pPr>
            <w:r>
              <w:rPr>
                <w:rFonts w:hint="eastAsia" w:ascii="仿宋" w:hAnsi="仿宋" w:eastAsia="仿宋" w:cs="仿宋"/>
                <w:spacing w:val="-7"/>
                <w:sz w:val="24"/>
                <w:szCs w:val="24"/>
                <w:lang w:eastAsia="zh-CN"/>
              </w:rPr>
              <w:t>净值</w:t>
            </w:r>
            <w:r>
              <w:rPr>
                <w:rFonts w:hint="eastAsia" w:ascii="仿宋" w:hAnsi="仿宋" w:eastAsia="仿宋" w:cs="仿宋"/>
                <w:spacing w:val="-7"/>
                <w:sz w:val="24"/>
                <w:szCs w:val="24"/>
              </w:rPr>
              <w:t>占资产比例</w:t>
            </w:r>
          </w:p>
        </w:tc>
      </w:tr>
      <w:tr w14:paraId="153C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67" w:type="pct"/>
            <w:shd w:val="clear" w:color="auto" w:fill="auto"/>
          </w:tcPr>
          <w:p w14:paraId="2D2BEB65">
            <w:pPr>
              <w:spacing w:before="55" w:line="229" w:lineRule="auto"/>
              <w:ind w:left="130"/>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1.货币资金</w:t>
            </w:r>
          </w:p>
        </w:tc>
        <w:tc>
          <w:tcPr>
            <w:tcW w:w="1036" w:type="pct"/>
            <w:shd w:val="clear" w:color="auto" w:fill="auto"/>
          </w:tcPr>
          <w:p w14:paraId="530CE278">
            <w:pPr>
              <w:pStyle w:val="9"/>
              <w:spacing w:before="79" w:line="186" w:lineRule="auto"/>
              <w:ind w:left="499"/>
              <w:rPr>
                <w:rFonts w:hint="eastAsia" w:ascii="仿宋" w:hAnsi="仿宋" w:eastAsia="仿宋" w:cs="仿宋"/>
                <w:lang w:eastAsia="zh-CN"/>
              </w:rPr>
            </w:pPr>
            <w:r>
              <w:rPr>
                <w:rFonts w:hint="eastAsia" w:ascii="仿宋" w:hAnsi="仿宋" w:eastAsia="仿宋" w:cs="仿宋"/>
                <w:spacing w:val="-1"/>
                <w:lang w:eastAsia="zh-CN"/>
              </w:rPr>
              <w:t>----</w:t>
            </w:r>
          </w:p>
        </w:tc>
        <w:tc>
          <w:tcPr>
            <w:tcW w:w="922" w:type="pct"/>
            <w:shd w:val="clear" w:color="auto" w:fill="auto"/>
          </w:tcPr>
          <w:p w14:paraId="253397F1">
            <w:pPr>
              <w:pStyle w:val="9"/>
              <w:spacing w:before="79" w:line="186" w:lineRule="auto"/>
              <w:jc w:val="center"/>
              <w:rPr>
                <w:rFonts w:hint="eastAsia" w:ascii="仿宋" w:hAnsi="仿宋" w:eastAsia="仿宋" w:cs="仿宋"/>
                <w:lang w:val="en-US" w:eastAsia="zh-CN"/>
              </w:rPr>
            </w:pPr>
            <w:r>
              <w:rPr>
                <w:rFonts w:hint="eastAsia" w:ascii="仿宋" w:hAnsi="仿宋" w:eastAsia="仿宋" w:cs="仿宋"/>
                <w:spacing w:val="-1"/>
                <w:lang w:val="en-US" w:eastAsia="zh-CN"/>
              </w:rPr>
              <w:t>22.53</w:t>
            </w:r>
          </w:p>
        </w:tc>
        <w:tc>
          <w:tcPr>
            <w:tcW w:w="1174" w:type="pct"/>
            <w:shd w:val="clear" w:color="auto" w:fill="auto"/>
          </w:tcPr>
          <w:p w14:paraId="263FDE90">
            <w:pPr>
              <w:pStyle w:val="9"/>
              <w:spacing w:before="78" w:line="186" w:lineRule="auto"/>
              <w:jc w:val="center"/>
              <w:rPr>
                <w:rFonts w:hint="eastAsia" w:ascii="仿宋" w:hAnsi="仿宋" w:eastAsia="仿宋" w:cs="仿宋"/>
              </w:rPr>
            </w:pPr>
            <w:r>
              <w:rPr>
                <w:rFonts w:hint="eastAsia" w:ascii="仿宋" w:hAnsi="仿宋" w:eastAsia="仿宋" w:cs="仿宋"/>
                <w:spacing w:val="-2"/>
                <w:lang w:val="en-US" w:eastAsia="zh-CN"/>
              </w:rPr>
              <w:t>6.9</w:t>
            </w:r>
            <w:r>
              <w:rPr>
                <w:rFonts w:hint="eastAsia" w:ascii="仿宋" w:hAnsi="仿宋" w:eastAsia="仿宋" w:cs="仿宋"/>
                <w:spacing w:val="-2"/>
              </w:rPr>
              <w:t>%</w:t>
            </w:r>
          </w:p>
        </w:tc>
      </w:tr>
      <w:tr w14:paraId="2351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67" w:type="pct"/>
            <w:shd w:val="clear" w:color="auto" w:fill="auto"/>
          </w:tcPr>
          <w:p w14:paraId="49DADAE0">
            <w:pPr>
              <w:spacing w:before="55" w:line="229" w:lineRule="auto"/>
              <w:ind w:left="130"/>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2.固定资产</w:t>
            </w:r>
          </w:p>
        </w:tc>
        <w:tc>
          <w:tcPr>
            <w:tcW w:w="1036" w:type="pct"/>
            <w:shd w:val="clear" w:color="auto" w:fill="auto"/>
          </w:tcPr>
          <w:p w14:paraId="0640160B">
            <w:pPr>
              <w:pStyle w:val="9"/>
              <w:spacing w:before="79" w:line="186" w:lineRule="auto"/>
              <w:ind w:left="499"/>
              <w:rPr>
                <w:rFonts w:hint="default" w:ascii="仿宋" w:hAnsi="仿宋" w:eastAsia="仿宋" w:cs="仿宋"/>
                <w:spacing w:val="-1"/>
                <w:lang w:val="en-US" w:eastAsia="zh-CN"/>
              </w:rPr>
            </w:pPr>
            <w:r>
              <w:rPr>
                <w:rFonts w:hint="eastAsia" w:ascii="仿宋" w:hAnsi="仿宋" w:eastAsia="仿宋" w:cs="仿宋"/>
                <w:spacing w:val="-1"/>
                <w:lang w:val="en-US" w:eastAsia="zh-CN"/>
              </w:rPr>
              <w:t>562.22</w:t>
            </w:r>
          </w:p>
        </w:tc>
        <w:tc>
          <w:tcPr>
            <w:tcW w:w="922" w:type="pct"/>
            <w:shd w:val="clear" w:color="auto" w:fill="auto"/>
          </w:tcPr>
          <w:p w14:paraId="02AD3F68">
            <w:pPr>
              <w:pStyle w:val="9"/>
              <w:spacing w:before="79" w:line="186" w:lineRule="auto"/>
              <w:ind w:left="440"/>
              <w:rPr>
                <w:rFonts w:hint="default" w:ascii="仿宋" w:hAnsi="仿宋" w:eastAsia="仿宋" w:cs="仿宋"/>
                <w:spacing w:val="-1"/>
                <w:lang w:val="en-US" w:eastAsia="zh-CN"/>
              </w:rPr>
            </w:pPr>
            <w:r>
              <w:rPr>
                <w:rFonts w:hint="eastAsia" w:ascii="仿宋" w:hAnsi="仿宋" w:eastAsia="仿宋" w:cs="仿宋"/>
                <w:spacing w:val="-1"/>
                <w:lang w:val="en-US" w:eastAsia="zh-CN"/>
              </w:rPr>
              <w:t>256.95</w:t>
            </w:r>
          </w:p>
        </w:tc>
        <w:tc>
          <w:tcPr>
            <w:tcW w:w="1174" w:type="pct"/>
            <w:shd w:val="clear" w:color="auto" w:fill="auto"/>
          </w:tcPr>
          <w:p w14:paraId="788F4E1C">
            <w:pPr>
              <w:pStyle w:val="9"/>
              <w:spacing w:before="78" w:line="186" w:lineRule="auto"/>
              <w:jc w:val="center"/>
              <w:rPr>
                <w:rFonts w:hint="eastAsia" w:ascii="仿宋" w:hAnsi="仿宋" w:eastAsia="仿宋" w:cs="仿宋"/>
                <w:spacing w:val="-2"/>
                <w:lang w:val="en-US" w:eastAsia="zh-CN"/>
              </w:rPr>
            </w:pPr>
            <w:r>
              <w:rPr>
                <w:rFonts w:hint="eastAsia" w:ascii="仿宋" w:hAnsi="仿宋" w:eastAsia="仿宋" w:cs="仿宋"/>
                <w:spacing w:val="-2"/>
                <w:lang w:val="en-US" w:eastAsia="zh-CN"/>
              </w:rPr>
              <w:t>78.73%</w:t>
            </w:r>
          </w:p>
        </w:tc>
      </w:tr>
      <w:tr w14:paraId="02A4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67" w:type="pct"/>
            <w:shd w:val="clear" w:color="auto" w:fill="auto"/>
          </w:tcPr>
          <w:p w14:paraId="044F2F8A">
            <w:pPr>
              <w:spacing w:before="56" w:line="230" w:lineRule="auto"/>
              <w:ind w:left="130"/>
              <w:rPr>
                <w:rFonts w:hint="eastAsia" w:ascii="仿宋" w:hAnsi="仿宋" w:eastAsia="仿宋" w:cs="仿宋"/>
                <w:sz w:val="24"/>
                <w:szCs w:val="24"/>
              </w:rPr>
            </w:pPr>
            <w:r>
              <w:rPr>
                <w:rFonts w:hint="eastAsia" w:ascii="仿宋" w:hAnsi="仿宋" w:eastAsia="仿宋" w:cs="仿宋"/>
                <w:spacing w:val="7"/>
                <w:sz w:val="24"/>
                <w:szCs w:val="24"/>
                <w:lang w:eastAsia="zh-CN"/>
              </w:rPr>
              <w:t>其中：</w:t>
            </w:r>
            <w:r>
              <w:rPr>
                <w:rFonts w:hint="eastAsia" w:ascii="仿宋" w:hAnsi="仿宋" w:eastAsia="仿宋" w:cs="仿宋"/>
                <w:spacing w:val="7"/>
                <w:sz w:val="24"/>
                <w:szCs w:val="24"/>
              </w:rPr>
              <w:t>通用设备</w:t>
            </w:r>
          </w:p>
        </w:tc>
        <w:tc>
          <w:tcPr>
            <w:tcW w:w="1036" w:type="pct"/>
            <w:shd w:val="clear" w:color="auto" w:fill="auto"/>
          </w:tcPr>
          <w:p w14:paraId="1D3746A6">
            <w:pPr>
              <w:pStyle w:val="9"/>
              <w:spacing w:before="80" w:line="186" w:lineRule="auto"/>
              <w:ind w:left="446"/>
              <w:rPr>
                <w:rFonts w:hint="default" w:ascii="仿宋" w:hAnsi="仿宋" w:eastAsia="仿宋" w:cs="仿宋"/>
                <w:lang w:val="en-US" w:eastAsia="zh-CN"/>
              </w:rPr>
            </w:pPr>
            <w:r>
              <w:rPr>
                <w:rFonts w:hint="eastAsia" w:ascii="仿宋" w:hAnsi="仿宋" w:eastAsia="仿宋" w:cs="仿宋"/>
                <w:spacing w:val="-2"/>
                <w:lang w:val="en-US" w:eastAsia="zh-CN"/>
              </w:rPr>
              <w:t>478.42</w:t>
            </w:r>
          </w:p>
        </w:tc>
        <w:tc>
          <w:tcPr>
            <w:tcW w:w="922" w:type="pct"/>
            <w:shd w:val="clear" w:color="auto" w:fill="auto"/>
          </w:tcPr>
          <w:p w14:paraId="5BA81823">
            <w:pPr>
              <w:pStyle w:val="9"/>
              <w:spacing w:before="80" w:line="186" w:lineRule="auto"/>
              <w:jc w:val="center"/>
              <w:rPr>
                <w:rFonts w:hint="default" w:ascii="仿宋" w:hAnsi="仿宋" w:eastAsia="仿宋" w:cs="仿宋"/>
                <w:lang w:val="en-US" w:eastAsia="zh-CN"/>
              </w:rPr>
            </w:pPr>
            <w:r>
              <w:rPr>
                <w:rFonts w:hint="eastAsia" w:ascii="仿宋" w:hAnsi="仿宋" w:eastAsia="仿宋" w:cs="仿宋"/>
                <w:spacing w:val="-4"/>
                <w:lang w:val="en-US" w:eastAsia="zh-CN"/>
              </w:rPr>
              <w:t>208.79</w:t>
            </w:r>
          </w:p>
        </w:tc>
        <w:tc>
          <w:tcPr>
            <w:tcW w:w="1174" w:type="pct"/>
            <w:shd w:val="clear" w:color="auto" w:fill="auto"/>
          </w:tcPr>
          <w:p w14:paraId="5876053E">
            <w:pPr>
              <w:pStyle w:val="9"/>
              <w:spacing w:before="79" w:line="186" w:lineRule="auto"/>
              <w:jc w:val="center"/>
              <w:rPr>
                <w:rFonts w:hint="eastAsia" w:ascii="仿宋" w:hAnsi="仿宋" w:eastAsia="仿宋" w:cs="仿宋"/>
              </w:rPr>
            </w:pPr>
            <w:r>
              <w:rPr>
                <w:rFonts w:hint="eastAsia" w:ascii="仿宋" w:hAnsi="仿宋" w:eastAsia="仿宋" w:cs="仿宋"/>
                <w:spacing w:val="-2"/>
                <w:lang w:val="en-US" w:eastAsia="zh-CN"/>
              </w:rPr>
              <w:t>63.98</w:t>
            </w:r>
            <w:r>
              <w:rPr>
                <w:rFonts w:hint="eastAsia" w:ascii="仿宋" w:hAnsi="仿宋" w:eastAsia="仿宋" w:cs="仿宋"/>
                <w:spacing w:val="-2"/>
              </w:rPr>
              <w:t>%</w:t>
            </w:r>
          </w:p>
        </w:tc>
      </w:tr>
      <w:tr w14:paraId="1DB2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67" w:type="pct"/>
            <w:shd w:val="clear" w:color="auto" w:fill="auto"/>
          </w:tcPr>
          <w:p w14:paraId="1E783793">
            <w:pPr>
              <w:spacing w:before="58" w:line="229" w:lineRule="auto"/>
              <w:ind w:left="131" w:firstLine="762" w:firstLineChars="300"/>
              <w:rPr>
                <w:rFonts w:hint="eastAsia" w:ascii="仿宋" w:hAnsi="仿宋" w:eastAsia="仿宋" w:cs="仿宋"/>
                <w:sz w:val="24"/>
                <w:szCs w:val="24"/>
              </w:rPr>
            </w:pPr>
            <w:r>
              <w:rPr>
                <w:rFonts w:hint="eastAsia" w:ascii="仿宋" w:hAnsi="仿宋" w:eastAsia="仿宋" w:cs="仿宋"/>
                <w:spacing w:val="7"/>
                <w:sz w:val="24"/>
                <w:szCs w:val="24"/>
              </w:rPr>
              <w:t>家具、用具及装具</w:t>
            </w:r>
          </w:p>
        </w:tc>
        <w:tc>
          <w:tcPr>
            <w:tcW w:w="1036" w:type="pct"/>
            <w:shd w:val="clear" w:color="auto" w:fill="auto"/>
          </w:tcPr>
          <w:p w14:paraId="43E20B2E">
            <w:pPr>
              <w:pStyle w:val="9"/>
              <w:spacing w:before="82" w:line="186" w:lineRule="auto"/>
              <w:ind w:left="524"/>
              <w:rPr>
                <w:rFonts w:hint="eastAsia" w:ascii="仿宋" w:hAnsi="仿宋" w:eastAsia="仿宋" w:cs="仿宋"/>
                <w:lang w:eastAsia="zh-CN"/>
              </w:rPr>
            </w:pPr>
            <w:r>
              <w:rPr>
                <w:rFonts w:hint="eastAsia" w:ascii="仿宋" w:hAnsi="仿宋" w:eastAsia="仿宋" w:cs="仿宋"/>
                <w:spacing w:val="-4"/>
                <w:lang w:eastAsia="zh-CN"/>
              </w:rPr>
              <w:t>83.78</w:t>
            </w:r>
          </w:p>
        </w:tc>
        <w:tc>
          <w:tcPr>
            <w:tcW w:w="922" w:type="pct"/>
            <w:shd w:val="clear" w:color="auto" w:fill="auto"/>
          </w:tcPr>
          <w:p w14:paraId="14F8B5E6">
            <w:pPr>
              <w:pStyle w:val="9"/>
              <w:spacing w:before="82" w:line="186" w:lineRule="auto"/>
              <w:jc w:val="center"/>
              <w:rPr>
                <w:rFonts w:hint="default" w:ascii="仿宋" w:hAnsi="仿宋" w:eastAsia="仿宋" w:cs="仿宋"/>
                <w:lang w:val="en-US" w:eastAsia="zh-CN"/>
              </w:rPr>
            </w:pPr>
            <w:r>
              <w:rPr>
                <w:rFonts w:hint="eastAsia" w:ascii="仿宋" w:hAnsi="仿宋" w:eastAsia="仿宋" w:cs="仿宋"/>
                <w:spacing w:val="-2"/>
                <w:lang w:val="en-US" w:eastAsia="zh-CN"/>
              </w:rPr>
              <w:t>48.16</w:t>
            </w:r>
          </w:p>
        </w:tc>
        <w:tc>
          <w:tcPr>
            <w:tcW w:w="1174" w:type="pct"/>
            <w:shd w:val="clear" w:color="auto" w:fill="auto"/>
          </w:tcPr>
          <w:p w14:paraId="4BE36B58">
            <w:pPr>
              <w:pStyle w:val="9"/>
              <w:spacing w:before="81" w:line="186" w:lineRule="auto"/>
              <w:jc w:val="center"/>
              <w:rPr>
                <w:rFonts w:hint="eastAsia" w:ascii="仿宋" w:hAnsi="仿宋" w:eastAsia="仿宋" w:cs="仿宋"/>
              </w:rPr>
            </w:pPr>
            <w:r>
              <w:rPr>
                <w:rFonts w:hint="eastAsia" w:ascii="仿宋" w:hAnsi="仿宋" w:eastAsia="仿宋" w:cs="仿宋"/>
                <w:spacing w:val="-6"/>
                <w:lang w:val="en-US" w:eastAsia="zh-CN"/>
              </w:rPr>
              <w:t>14.75</w:t>
            </w:r>
            <w:r>
              <w:rPr>
                <w:rFonts w:hint="eastAsia" w:ascii="仿宋" w:hAnsi="仿宋" w:eastAsia="仿宋" w:cs="仿宋"/>
                <w:spacing w:val="-6"/>
              </w:rPr>
              <w:t>%</w:t>
            </w:r>
          </w:p>
        </w:tc>
      </w:tr>
      <w:tr w14:paraId="1F04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867" w:type="pct"/>
            <w:shd w:val="clear" w:color="auto" w:fill="auto"/>
          </w:tcPr>
          <w:p w14:paraId="75A278DC">
            <w:pPr>
              <w:spacing w:before="58" w:line="229" w:lineRule="auto"/>
              <w:ind w:left="131"/>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3.无形资产</w:t>
            </w:r>
          </w:p>
        </w:tc>
        <w:tc>
          <w:tcPr>
            <w:tcW w:w="1036" w:type="pct"/>
            <w:shd w:val="clear" w:color="auto" w:fill="auto"/>
          </w:tcPr>
          <w:p w14:paraId="6E2771A8">
            <w:pPr>
              <w:pStyle w:val="9"/>
              <w:spacing w:before="82" w:line="186" w:lineRule="auto"/>
              <w:ind w:left="524"/>
              <w:rPr>
                <w:rFonts w:hint="eastAsia" w:ascii="仿宋" w:hAnsi="仿宋" w:eastAsia="仿宋" w:cs="仿宋"/>
                <w:spacing w:val="-4"/>
                <w:lang w:eastAsia="zh-CN"/>
              </w:rPr>
            </w:pPr>
            <w:r>
              <w:rPr>
                <w:rFonts w:hint="eastAsia" w:ascii="仿宋" w:hAnsi="仿宋" w:eastAsia="仿宋" w:cs="仿宋"/>
                <w:spacing w:val="-4"/>
                <w:lang w:val="en-US" w:eastAsia="zh-CN"/>
              </w:rPr>
              <w:t>102</w:t>
            </w:r>
            <w:r>
              <w:rPr>
                <w:rFonts w:hint="eastAsia" w:ascii="仿宋" w:hAnsi="仿宋" w:eastAsia="仿宋" w:cs="仿宋"/>
                <w:spacing w:val="-4"/>
                <w:lang w:eastAsia="zh-CN"/>
              </w:rPr>
              <w:t>.05</w:t>
            </w:r>
          </w:p>
        </w:tc>
        <w:tc>
          <w:tcPr>
            <w:tcW w:w="922" w:type="pct"/>
            <w:shd w:val="clear" w:color="auto" w:fill="auto"/>
          </w:tcPr>
          <w:p w14:paraId="3D4B99C3">
            <w:pPr>
              <w:pStyle w:val="9"/>
              <w:spacing w:before="82" w:line="186" w:lineRule="auto"/>
              <w:jc w:val="center"/>
              <w:rPr>
                <w:rFonts w:hint="default" w:ascii="仿宋" w:hAnsi="仿宋" w:eastAsia="仿宋" w:cs="仿宋"/>
                <w:spacing w:val="-2"/>
                <w:lang w:val="en-US" w:eastAsia="zh-CN"/>
              </w:rPr>
            </w:pPr>
            <w:r>
              <w:rPr>
                <w:rFonts w:hint="eastAsia" w:ascii="仿宋" w:hAnsi="仿宋" w:eastAsia="仿宋" w:cs="仿宋"/>
                <w:spacing w:val="-2"/>
                <w:lang w:val="en-US" w:eastAsia="zh-CN"/>
              </w:rPr>
              <w:t>46.87</w:t>
            </w:r>
          </w:p>
        </w:tc>
        <w:tc>
          <w:tcPr>
            <w:tcW w:w="1174" w:type="pct"/>
            <w:shd w:val="clear" w:color="auto" w:fill="auto"/>
          </w:tcPr>
          <w:p w14:paraId="3F8765E5">
            <w:pPr>
              <w:pStyle w:val="9"/>
              <w:spacing w:before="81" w:line="186" w:lineRule="auto"/>
              <w:jc w:val="center"/>
              <w:rPr>
                <w:rFonts w:hint="eastAsia" w:ascii="仿宋" w:hAnsi="仿宋" w:eastAsia="仿宋" w:cs="仿宋"/>
                <w:spacing w:val="-6"/>
              </w:rPr>
            </w:pPr>
            <w:r>
              <w:rPr>
                <w:rFonts w:hint="eastAsia" w:ascii="仿宋" w:hAnsi="仿宋" w:eastAsia="仿宋" w:cs="仿宋"/>
                <w:spacing w:val="-6"/>
                <w:lang w:val="en-US" w:eastAsia="zh-CN"/>
              </w:rPr>
              <w:t>14.37</w:t>
            </w:r>
            <w:r>
              <w:rPr>
                <w:rFonts w:hint="eastAsia" w:ascii="仿宋" w:hAnsi="仿宋" w:eastAsia="仿宋" w:cs="仿宋"/>
                <w:spacing w:val="-6"/>
              </w:rPr>
              <w:t>%</w:t>
            </w:r>
          </w:p>
        </w:tc>
      </w:tr>
      <w:tr w14:paraId="15D7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1867" w:type="pct"/>
            <w:shd w:val="clear" w:color="auto" w:fill="auto"/>
          </w:tcPr>
          <w:p w14:paraId="7981454E">
            <w:pPr>
              <w:spacing w:before="59" w:line="230" w:lineRule="auto"/>
              <w:ind w:left="132"/>
              <w:rPr>
                <w:rFonts w:hint="eastAsia" w:ascii="仿宋" w:hAnsi="仿宋" w:eastAsia="仿宋" w:cs="仿宋"/>
                <w:sz w:val="24"/>
                <w:szCs w:val="24"/>
              </w:rPr>
            </w:pPr>
            <w:r>
              <w:rPr>
                <w:rFonts w:hint="eastAsia" w:ascii="仿宋" w:hAnsi="仿宋" w:eastAsia="仿宋" w:cs="仿宋"/>
                <w:spacing w:val="3"/>
                <w:sz w:val="24"/>
                <w:szCs w:val="24"/>
              </w:rPr>
              <w:t>总计</w:t>
            </w:r>
          </w:p>
        </w:tc>
        <w:tc>
          <w:tcPr>
            <w:tcW w:w="1036" w:type="pct"/>
            <w:shd w:val="clear" w:color="auto" w:fill="auto"/>
          </w:tcPr>
          <w:p w14:paraId="0E455824">
            <w:pPr>
              <w:pStyle w:val="9"/>
              <w:spacing w:before="83" w:line="186" w:lineRule="auto"/>
              <w:ind w:left="464"/>
              <w:rPr>
                <w:rFonts w:hint="default" w:ascii="仿宋" w:hAnsi="仿宋" w:eastAsia="仿宋" w:cs="仿宋"/>
                <w:lang w:val="en-US" w:eastAsia="zh-CN"/>
              </w:rPr>
            </w:pPr>
            <w:r>
              <w:rPr>
                <w:rFonts w:hint="eastAsia" w:ascii="仿宋" w:hAnsi="仿宋" w:eastAsia="仿宋" w:cs="仿宋"/>
                <w:spacing w:val="-4"/>
                <w:lang w:val="en-US" w:eastAsia="zh-CN"/>
              </w:rPr>
              <w:t>664.27</w:t>
            </w:r>
          </w:p>
        </w:tc>
        <w:tc>
          <w:tcPr>
            <w:tcW w:w="922" w:type="pct"/>
            <w:shd w:val="clear" w:color="auto" w:fill="auto"/>
          </w:tcPr>
          <w:p w14:paraId="004F744E">
            <w:pPr>
              <w:pStyle w:val="9"/>
              <w:spacing w:before="83" w:line="186" w:lineRule="auto"/>
              <w:jc w:val="center"/>
              <w:rPr>
                <w:rFonts w:hint="default" w:ascii="仿宋" w:hAnsi="仿宋" w:eastAsia="仿宋" w:cs="仿宋"/>
                <w:lang w:val="en-US" w:eastAsia="zh-CN"/>
              </w:rPr>
            </w:pPr>
            <w:r>
              <w:rPr>
                <w:rFonts w:hint="eastAsia" w:ascii="仿宋" w:hAnsi="仿宋" w:eastAsia="仿宋" w:cs="仿宋"/>
                <w:spacing w:val="-2"/>
                <w:lang w:val="en-US" w:eastAsia="zh-CN"/>
              </w:rPr>
              <w:t>326.35</w:t>
            </w:r>
          </w:p>
        </w:tc>
        <w:tc>
          <w:tcPr>
            <w:tcW w:w="1174" w:type="pct"/>
            <w:shd w:val="clear" w:color="auto" w:fill="auto"/>
          </w:tcPr>
          <w:p w14:paraId="36952B02">
            <w:pPr>
              <w:pStyle w:val="9"/>
              <w:spacing w:before="82" w:line="186" w:lineRule="auto"/>
              <w:jc w:val="center"/>
              <w:rPr>
                <w:rFonts w:hint="eastAsia" w:ascii="仿宋" w:hAnsi="仿宋" w:eastAsia="仿宋" w:cs="仿宋"/>
              </w:rPr>
            </w:pPr>
            <w:r>
              <w:rPr>
                <w:rFonts w:hint="eastAsia" w:ascii="仿宋" w:hAnsi="仿宋" w:eastAsia="仿宋" w:cs="仿宋"/>
                <w:spacing w:val="-5"/>
              </w:rPr>
              <w:t>100%</w:t>
            </w:r>
          </w:p>
        </w:tc>
      </w:tr>
    </w:tbl>
    <w:p w14:paraId="34718BDA">
      <w:pPr>
        <w:spacing w:line="30" w:lineRule="exact"/>
      </w:pPr>
    </w:p>
    <w:p w14:paraId="0EB9D6F9">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5</w:t>
      </w:r>
      <w:r>
        <w:rPr>
          <w:b/>
          <w:bCs/>
          <w:spacing w:val="-3"/>
          <w:sz w:val="32"/>
          <w:szCs w:val="32"/>
        </w:rPr>
        <w:t>、</w:t>
      </w:r>
      <w:r>
        <w:rPr>
          <w:rFonts w:hint="eastAsia"/>
          <w:b/>
          <w:bCs/>
          <w:spacing w:val="-3"/>
          <w:sz w:val="32"/>
          <w:szCs w:val="32"/>
          <w:lang w:eastAsia="zh-CN"/>
        </w:rPr>
        <w:t>重点工作任务</w:t>
      </w:r>
    </w:p>
    <w:p w14:paraId="6D4294CF">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根据《202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年南京仲裁办工作目标任务》、部门职责，202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年重点工作任务主要包括</w:t>
      </w:r>
      <w:bookmarkStart w:id="1" w:name="bookmark5"/>
      <w:bookmarkEnd w:id="1"/>
      <w:r>
        <w:rPr>
          <w:rFonts w:hint="eastAsia" w:ascii="仿宋_GB2312" w:hAnsi="仿宋_GB2312" w:eastAsia="仿宋_GB2312" w:cs="仿宋_GB2312"/>
          <w:snapToGrid/>
          <w:kern w:val="2"/>
          <w:sz w:val="32"/>
          <w:szCs w:val="32"/>
          <w:lang w:eastAsia="zh-CN"/>
        </w:rPr>
        <w:t>：</w:t>
      </w:r>
    </w:p>
    <w:p w14:paraId="06251A6B">
      <w:pPr>
        <w:widowControl w:val="0"/>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一是</w:t>
      </w:r>
      <w:r>
        <w:rPr>
          <w:rFonts w:hint="eastAsia" w:ascii="仿宋_GB2312" w:hAnsi="仿宋_GB2312" w:eastAsia="仿宋_GB2312" w:cs="仿宋_GB2312"/>
          <w:snapToGrid/>
          <w:kern w:val="2"/>
          <w:sz w:val="32"/>
          <w:szCs w:val="32"/>
          <w:lang w:val="en-US" w:eastAsia="zh-CN"/>
        </w:rPr>
        <w:t>继续推进江苏（南京）</w:t>
      </w:r>
      <w:r>
        <w:rPr>
          <w:rFonts w:hint="eastAsia" w:ascii="仿宋_GB2312" w:hAnsi="仿宋_GB2312" w:eastAsia="仿宋_GB2312" w:cs="仿宋_GB2312"/>
          <w:snapToGrid/>
          <w:kern w:val="2"/>
          <w:sz w:val="32"/>
          <w:szCs w:val="32"/>
          <w:lang w:eastAsia="zh-CN"/>
        </w:rPr>
        <w:t>国际</w:t>
      </w:r>
      <w:r>
        <w:rPr>
          <w:rFonts w:hint="eastAsia" w:ascii="仿宋_GB2312" w:hAnsi="仿宋_GB2312" w:eastAsia="仿宋_GB2312" w:cs="仿宋_GB2312"/>
          <w:snapToGrid/>
          <w:kern w:val="2"/>
          <w:sz w:val="32"/>
          <w:szCs w:val="32"/>
          <w:lang w:val="en-US" w:eastAsia="zh-CN"/>
        </w:rPr>
        <w:t>商事</w:t>
      </w:r>
      <w:r>
        <w:rPr>
          <w:rFonts w:hint="eastAsia" w:ascii="仿宋_GB2312" w:hAnsi="仿宋_GB2312" w:eastAsia="仿宋_GB2312" w:cs="仿宋_GB2312"/>
          <w:snapToGrid/>
          <w:kern w:val="2"/>
          <w:sz w:val="32"/>
          <w:szCs w:val="32"/>
          <w:lang w:eastAsia="zh-CN"/>
        </w:rPr>
        <w:t>仲裁</w:t>
      </w:r>
      <w:r>
        <w:rPr>
          <w:rFonts w:hint="eastAsia" w:ascii="仿宋_GB2312" w:hAnsi="仿宋_GB2312" w:eastAsia="仿宋_GB2312" w:cs="仿宋_GB2312"/>
          <w:snapToGrid/>
          <w:kern w:val="2"/>
          <w:sz w:val="32"/>
          <w:szCs w:val="32"/>
          <w:lang w:val="en-US" w:eastAsia="zh-CN"/>
        </w:rPr>
        <w:t>高地建设</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为走出去企业提供高效优质的法律服务。</w:t>
      </w:r>
    </w:p>
    <w:p w14:paraId="365459F7">
      <w:pPr>
        <w:widowControl w:val="0"/>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二是打造南京仲裁特色品牌，</w:t>
      </w:r>
      <w:r>
        <w:rPr>
          <w:rFonts w:hint="eastAsia" w:ascii="仿宋_GB2312" w:hAnsi="仿宋_GB2312" w:eastAsia="仿宋_GB2312" w:cs="仿宋_GB2312"/>
          <w:snapToGrid/>
          <w:kern w:val="2"/>
          <w:sz w:val="32"/>
          <w:szCs w:val="32"/>
          <w:lang w:eastAsia="zh-CN"/>
        </w:rPr>
        <w:t>积极推动法律服务与产业的深度融合。</w:t>
      </w:r>
    </w:p>
    <w:p w14:paraId="7C33AB9B">
      <w:pPr>
        <w:widowControl w:val="0"/>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三是积极参与诉源治理，总结“</w:t>
      </w:r>
      <w:r>
        <w:rPr>
          <w:rFonts w:hint="eastAsia" w:ascii="仿宋_GB2312" w:hAnsi="仿宋_GB2312" w:eastAsia="仿宋_GB2312" w:cs="仿宋_GB2312"/>
          <w:snapToGrid/>
          <w:kern w:val="2"/>
          <w:sz w:val="32"/>
          <w:szCs w:val="32"/>
          <w:lang w:eastAsia="zh-CN"/>
        </w:rPr>
        <w:t>诉仲调解仲裁联系点</w:t>
      </w:r>
      <w:r>
        <w:rPr>
          <w:rFonts w:hint="eastAsia" w:ascii="仿宋_GB2312" w:hAnsi="仿宋_GB2312" w:eastAsia="仿宋_GB2312" w:cs="仿宋_GB2312"/>
          <w:snapToGrid/>
          <w:kern w:val="2"/>
          <w:sz w:val="32"/>
          <w:szCs w:val="32"/>
          <w:lang w:val="en-US" w:eastAsia="zh-CN"/>
        </w:rPr>
        <w:t>”成功经验做法，</w:t>
      </w:r>
      <w:r>
        <w:rPr>
          <w:rFonts w:hint="eastAsia" w:ascii="仿宋_GB2312" w:hAnsi="仿宋_GB2312" w:eastAsia="仿宋_GB2312" w:cs="仿宋_GB2312"/>
          <w:snapToGrid/>
          <w:kern w:val="2"/>
          <w:sz w:val="32"/>
          <w:szCs w:val="32"/>
          <w:lang w:eastAsia="zh-CN"/>
        </w:rPr>
        <w:t>形成可复制</w:t>
      </w:r>
      <w:r>
        <w:rPr>
          <w:rFonts w:hint="eastAsia" w:ascii="仿宋_GB2312" w:hAnsi="仿宋_GB2312" w:eastAsia="仿宋_GB2312" w:cs="仿宋_GB2312"/>
          <w:snapToGrid/>
          <w:kern w:val="2"/>
          <w:sz w:val="32"/>
          <w:szCs w:val="32"/>
          <w:lang w:val="en-US" w:eastAsia="zh-CN"/>
        </w:rPr>
        <w:t>样本</w:t>
      </w:r>
      <w:r>
        <w:rPr>
          <w:rFonts w:hint="eastAsia" w:ascii="仿宋_GB2312" w:hAnsi="仿宋_GB2312" w:eastAsia="仿宋_GB2312" w:cs="仿宋_GB2312"/>
          <w:snapToGrid/>
          <w:kern w:val="2"/>
          <w:sz w:val="32"/>
          <w:szCs w:val="32"/>
          <w:lang w:eastAsia="zh-CN"/>
        </w:rPr>
        <w:t>，拟在</w:t>
      </w:r>
      <w:r>
        <w:rPr>
          <w:rFonts w:hint="eastAsia" w:ascii="仿宋_GB2312" w:hAnsi="仿宋_GB2312" w:eastAsia="仿宋_GB2312" w:cs="仿宋_GB2312"/>
          <w:snapToGrid/>
          <w:kern w:val="2"/>
          <w:sz w:val="32"/>
          <w:szCs w:val="32"/>
          <w:lang w:val="en-US" w:eastAsia="zh-CN"/>
        </w:rPr>
        <w:t>全市</w:t>
      </w:r>
      <w:r>
        <w:rPr>
          <w:rFonts w:hint="eastAsia" w:ascii="仿宋_GB2312" w:hAnsi="仿宋_GB2312" w:eastAsia="仿宋_GB2312" w:cs="仿宋_GB2312"/>
          <w:snapToGrid/>
          <w:kern w:val="2"/>
          <w:sz w:val="32"/>
          <w:szCs w:val="32"/>
          <w:lang w:eastAsia="zh-CN"/>
        </w:rPr>
        <w:t>基层法院复制推广，有效分流诉至法院的</w:t>
      </w:r>
      <w:r>
        <w:rPr>
          <w:rFonts w:hint="eastAsia" w:ascii="仿宋_GB2312" w:hAnsi="仿宋_GB2312" w:eastAsia="仿宋_GB2312" w:cs="仿宋_GB2312"/>
          <w:snapToGrid/>
          <w:kern w:val="2"/>
          <w:sz w:val="32"/>
          <w:szCs w:val="32"/>
          <w:lang w:val="en-US" w:eastAsia="zh-CN"/>
        </w:rPr>
        <w:t>商事</w:t>
      </w:r>
      <w:r>
        <w:rPr>
          <w:rFonts w:hint="eastAsia" w:ascii="仿宋_GB2312" w:hAnsi="仿宋_GB2312" w:eastAsia="仿宋_GB2312" w:cs="仿宋_GB2312"/>
          <w:snapToGrid/>
          <w:kern w:val="2"/>
          <w:sz w:val="32"/>
          <w:szCs w:val="32"/>
          <w:lang w:eastAsia="zh-CN"/>
        </w:rPr>
        <w:t>纠纷。</w:t>
      </w:r>
    </w:p>
    <w:p w14:paraId="028F3C67">
      <w:pPr>
        <w:widowControl w:val="0"/>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四是</w:t>
      </w:r>
      <w:r>
        <w:rPr>
          <w:rFonts w:hint="eastAsia" w:ascii="仿宋_GB2312" w:hAnsi="仿宋_GB2312" w:eastAsia="仿宋_GB2312" w:cs="仿宋_GB2312"/>
          <w:snapToGrid/>
          <w:kern w:val="2"/>
          <w:sz w:val="32"/>
          <w:szCs w:val="32"/>
          <w:lang w:eastAsia="zh-CN"/>
        </w:rPr>
        <w:t>提升质效与公信力，建立健全职责清晰、规则统一、信息互通、协同高效的内部管理</w:t>
      </w:r>
      <w:r>
        <w:rPr>
          <w:rFonts w:hint="eastAsia" w:ascii="仿宋_GB2312" w:hAnsi="仿宋_GB2312" w:eastAsia="仿宋_GB2312" w:cs="仿宋_GB2312"/>
          <w:snapToGrid/>
          <w:kern w:val="2"/>
          <w:sz w:val="32"/>
          <w:szCs w:val="32"/>
          <w:lang w:val="en-US" w:eastAsia="zh-CN"/>
        </w:rPr>
        <w:t>机制</w:t>
      </w:r>
      <w:r>
        <w:rPr>
          <w:rFonts w:hint="eastAsia" w:ascii="仿宋_GB2312" w:hAnsi="仿宋_GB2312" w:eastAsia="仿宋_GB2312" w:cs="仿宋_GB2312"/>
          <w:snapToGrid/>
          <w:kern w:val="2"/>
          <w:sz w:val="32"/>
          <w:szCs w:val="32"/>
          <w:lang w:eastAsia="zh-CN"/>
        </w:rPr>
        <w:t>，强化仲裁全生命周期服务、全流程跟踪，保障仲裁案件的高效推进，让</w:t>
      </w:r>
      <w:r>
        <w:rPr>
          <w:rFonts w:hint="eastAsia" w:ascii="仿宋_GB2312" w:hAnsi="仿宋_GB2312" w:eastAsia="仿宋_GB2312" w:cs="仿宋_GB2312"/>
          <w:snapToGrid/>
          <w:kern w:val="2"/>
          <w:sz w:val="32"/>
          <w:szCs w:val="32"/>
          <w:lang w:val="en-US" w:eastAsia="zh-CN"/>
        </w:rPr>
        <w:t>各类商事主体</w:t>
      </w:r>
      <w:r>
        <w:rPr>
          <w:rFonts w:hint="eastAsia" w:ascii="仿宋_GB2312" w:hAnsi="仿宋_GB2312" w:eastAsia="仿宋_GB2312" w:cs="仿宋_GB2312"/>
          <w:snapToGrid/>
          <w:kern w:val="2"/>
          <w:sz w:val="32"/>
          <w:szCs w:val="32"/>
          <w:lang w:eastAsia="zh-CN"/>
        </w:rPr>
        <w:t>切实体会到仲裁的专业与高效。</w:t>
      </w:r>
      <w:r>
        <w:rPr>
          <w:rFonts w:hint="eastAsia" w:ascii="仿宋_GB2312" w:hAnsi="仿宋_GB2312" w:eastAsia="仿宋_GB2312" w:cs="仿宋_GB2312"/>
          <w:snapToGrid/>
          <w:kern w:val="2"/>
          <w:sz w:val="32"/>
          <w:szCs w:val="32"/>
          <w:lang w:val="en-US" w:eastAsia="zh-CN"/>
        </w:rPr>
        <w:t xml:space="preserve">  </w:t>
      </w:r>
    </w:p>
    <w:p w14:paraId="25D0AA3A">
      <w:pPr>
        <w:widowControl w:val="0"/>
        <w:autoSpaceDE/>
        <w:autoSpaceDN/>
        <w:spacing w:line="560" w:lineRule="exact"/>
        <w:ind w:firstLine="651" w:firstLineChars="200"/>
        <w:textAlignment w:val="auto"/>
        <w:outlineLvl w:val="1"/>
        <w:rPr>
          <w:rFonts w:ascii="楷体" w:hAnsi="楷体" w:eastAsia="楷体" w:cs="楷体"/>
          <w:b/>
          <w:bCs/>
          <w:spacing w:val="2"/>
          <w:sz w:val="32"/>
          <w:szCs w:val="32"/>
          <w:lang w:eastAsia="zh-CN"/>
        </w:rPr>
      </w:pPr>
      <w:r>
        <w:rPr>
          <w:rFonts w:ascii="楷体" w:hAnsi="楷体" w:eastAsia="楷体" w:cs="楷体"/>
          <w:b/>
          <w:bCs/>
          <w:spacing w:val="2"/>
          <w:sz w:val="32"/>
          <w:szCs w:val="32"/>
          <w:lang w:eastAsia="zh-CN"/>
        </w:rPr>
        <w:t>（二）部门收支情况</w:t>
      </w:r>
    </w:p>
    <w:p w14:paraId="4BDF139D">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1、总体情况</w:t>
      </w:r>
    </w:p>
    <w:p w14:paraId="02D40BF4">
      <w:pPr>
        <w:widowControl w:val="0"/>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snapToGrid/>
          <w:kern w:val="2"/>
          <w:sz w:val="32"/>
          <w:szCs w:val="32"/>
          <w:lang w:eastAsia="zh-CN"/>
        </w:rPr>
      </w:pPr>
      <w:r>
        <w:rPr>
          <w:rFonts w:ascii="仿宋_GB2312" w:hAnsi="仿宋_GB2312" w:eastAsia="仿宋_GB2312" w:cs="仿宋_GB2312"/>
          <w:snapToGrid/>
          <w:kern w:val="2"/>
          <w:sz w:val="32"/>
          <w:szCs w:val="32"/>
          <w:lang w:eastAsia="zh-CN"/>
        </w:rPr>
        <w:t>202</w:t>
      </w:r>
      <w:r>
        <w:rPr>
          <w:rFonts w:hint="eastAsia" w:ascii="仿宋_GB2312" w:hAnsi="仿宋_GB2312" w:eastAsia="仿宋_GB2312" w:cs="仿宋_GB2312"/>
          <w:snapToGrid/>
          <w:kern w:val="2"/>
          <w:sz w:val="32"/>
          <w:szCs w:val="32"/>
          <w:lang w:val="en-US" w:eastAsia="zh-CN"/>
        </w:rPr>
        <w:t>4</w:t>
      </w:r>
      <w:r>
        <w:rPr>
          <w:rFonts w:ascii="仿宋_GB2312" w:hAnsi="仿宋_GB2312" w:eastAsia="仿宋_GB2312" w:cs="仿宋_GB2312"/>
          <w:snapToGrid/>
          <w:kern w:val="2"/>
          <w:sz w:val="32"/>
          <w:szCs w:val="32"/>
          <w:lang w:eastAsia="zh-CN"/>
        </w:rPr>
        <w:t>年年初预算</w:t>
      </w:r>
      <w:r>
        <w:rPr>
          <w:rFonts w:hint="eastAsia" w:ascii="仿宋_GB2312" w:hAnsi="仿宋_GB2312" w:eastAsia="仿宋_GB2312" w:cs="仿宋_GB2312"/>
          <w:snapToGrid/>
          <w:kern w:val="2"/>
          <w:sz w:val="32"/>
          <w:szCs w:val="32"/>
          <w:lang w:eastAsia="zh-CN"/>
        </w:rPr>
        <w:t>安排</w:t>
      </w:r>
      <w:r>
        <w:rPr>
          <w:rFonts w:hint="eastAsia" w:ascii="仿宋_GB2312" w:hAnsi="仿宋_GB2312" w:eastAsia="仿宋_GB2312" w:cs="仿宋_GB2312"/>
          <w:snapToGrid/>
          <w:kern w:val="2"/>
          <w:sz w:val="32"/>
          <w:szCs w:val="32"/>
          <w:lang w:val="en-US" w:eastAsia="zh-CN"/>
        </w:rPr>
        <w:t>1814.25</w:t>
      </w:r>
      <w:r>
        <w:rPr>
          <w:rFonts w:ascii="仿宋_GB2312" w:hAnsi="仿宋_GB2312" w:eastAsia="仿宋_GB2312" w:cs="仿宋_GB2312"/>
          <w:snapToGrid/>
          <w:kern w:val="2"/>
          <w:sz w:val="32"/>
          <w:szCs w:val="32"/>
          <w:lang w:eastAsia="zh-CN"/>
        </w:rPr>
        <w:t>万元</w:t>
      </w:r>
      <w:r>
        <w:rPr>
          <w:rFonts w:hint="eastAsia" w:ascii="仿宋_GB2312" w:hAnsi="仿宋_GB2312" w:eastAsia="仿宋_GB2312" w:cs="仿宋_GB2312"/>
          <w:snapToGrid/>
          <w:kern w:val="2"/>
          <w:sz w:val="32"/>
          <w:szCs w:val="32"/>
          <w:lang w:eastAsia="zh-CN"/>
        </w:rPr>
        <w:t>（其中基本支出</w:t>
      </w:r>
      <w:r>
        <w:rPr>
          <w:rFonts w:hint="eastAsia" w:ascii="仿宋_GB2312" w:hAnsi="仿宋_GB2312" w:eastAsia="仿宋_GB2312" w:cs="仿宋_GB2312"/>
          <w:snapToGrid/>
          <w:kern w:val="2"/>
          <w:sz w:val="32"/>
          <w:szCs w:val="32"/>
          <w:lang w:val="en-US" w:eastAsia="zh-CN"/>
        </w:rPr>
        <w:t>1104.65</w:t>
      </w:r>
      <w:r>
        <w:rPr>
          <w:rFonts w:hint="eastAsia" w:ascii="仿宋_GB2312" w:hAnsi="仿宋_GB2312" w:eastAsia="仿宋_GB2312" w:cs="仿宋_GB2312"/>
          <w:snapToGrid/>
          <w:kern w:val="2"/>
          <w:sz w:val="32"/>
          <w:szCs w:val="32"/>
          <w:lang w:eastAsia="zh-CN"/>
        </w:rPr>
        <w:t>万元、项目支出</w:t>
      </w:r>
      <w:r>
        <w:rPr>
          <w:rFonts w:hint="eastAsia" w:ascii="仿宋_GB2312" w:hAnsi="仿宋_GB2312" w:eastAsia="仿宋_GB2312" w:cs="仿宋_GB2312"/>
          <w:snapToGrid/>
          <w:kern w:val="2"/>
          <w:sz w:val="32"/>
          <w:szCs w:val="32"/>
          <w:lang w:val="en-US" w:eastAsia="zh-CN"/>
        </w:rPr>
        <w:t>709.6</w:t>
      </w:r>
      <w:r>
        <w:rPr>
          <w:rFonts w:hint="eastAsia" w:ascii="仿宋_GB2312" w:hAnsi="仿宋_GB2312" w:eastAsia="仿宋_GB2312" w:cs="仿宋_GB2312"/>
          <w:snapToGrid/>
          <w:kern w:val="2"/>
          <w:sz w:val="32"/>
          <w:szCs w:val="32"/>
          <w:lang w:eastAsia="zh-CN"/>
        </w:rPr>
        <w:t>万元）</w:t>
      </w:r>
      <w:r>
        <w:rPr>
          <w:rFonts w:ascii="仿宋_GB2312" w:hAnsi="仿宋_GB2312" w:eastAsia="仿宋_GB2312" w:cs="仿宋_GB2312"/>
          <w:snapToGrid/>
          <w:kern w:val="2"/>
          <w:sz w:val="32"/>
          <w:szCs w:val="32"/>
          <w:lang w:eastAsia="zh-CN"/>
        </w:rPr>
        <w:t>。增人增资</w:t>
      </w:r>
      <w:r>
        <w:rPr>
          <w:rFonts w:hint="eastAsia" w:ascii="仿宋_GB2312" w:hAnsi="仿宋_GB2312" w:eastAsia="仿宋_GB2312" w:cs="仿宋_GB2312"/>
          <w:snapToGrid/>
          <w:kern w:val="2"/>
          <w:sz w:val="32"/>
          <w:szCs w:val="32"/>
          <w:lang w:eastAsia="zh-CN"/>
        </w:rPr>
        <w:t>和年中预算压减合计</w:t>
      </w:r>
      <w:r>
        <w:rPr>
          <w:rFonts w:ascii="仿宋_GB2312" w:hAnsi="仿宋_GB2312" w:eastAsia="仿宋_GB2312" w:cs="仿宋_GB2312"/>
          <w:snapToGrid/>
          <w:kern w:val="2"/>
          <w:sz w:val="32"/>
          <w:szCs w:val="32"/>
          <w:lang w:eastAsia="zh-CN"/>
        </w:rPr>
        <w:t>调增预算</w:t>
      </w:r>
      <w:r>
        <w:rPr>
          <w:rFonts w:hint="eastAsia" w:ascii="仿宋_GB2312" w:hAnsi="仿宋_GB2312" w:eastAsia="仿宋_GB2312" w:cs="仿宋_GB2312"/>
          <w:snapToGrid/>
          <w:kern w:val="2"/>
          <w:sz w:val="32"/>
          <w:szCs w:val="32"/>
          <w:lang w:val="en-US" w:eastAsia="zh-CN"/>
        </w:rPr>
        <w:t>5.43</w:t>
      </w:r>
      <w:r>
        <w:rPr>
          <w:rFonts w:ascii="仿宋_GB2312" w:hAnsi="仿宋_GB2312" w:eastAsia="仿宋_GB2312" w:cs="仿宋_GB2312"/>
          <w:snapToGrid/>
          <w:kern w:val="2"/>
          <w:sz w:val="32"/>
          <w:szCs w:val="32"/>
          <w:lang w:eastAsia="zh-CN"/>
        </w:rPr>
        <w:t>万元，调整后预算</w:t>
      </w:r>
      <w:r>
        <w:rPr>
          <w:rFonts w:hint="eastAsia" w:ascii="仿宋_GB2312" w:hAnsi="仿宋_GB2312" w:eastAsia="仿宋_GB2312" w:cs="仿宋_GB2312"/>
          <w:snapToGrid/>
          <w:kern w:val="2"/>
          <w:sz w:val="32"/>
          <w:szCs w:val="32"/>
          <w:lang w:eastAsia="zh-CN"/>
        </w:rPr>
        <w:t>安排</w:t>
      </w:r>
      <w:r>
        <w:rPr>
          <w:rFonts w:hint="eastAsia" w:ascii="仿宋_GB2312" w:hAnsi="仿宋_GB2312" w:eastAsia="仿宋_GB2312" w:cs="仿宋_GB2312"/>
          <w:snapToGrid/>
          <w:kern w:val="2"/>
          <w:sz w:val="32"/>
          <w:szCs w:val="32"/>
          <w:lang w:val="en-US" w:eastAsia="zh-CN"/>
        </w:rPr>
        <w:t>1819.68</w:t>
      </w:r>
      <w:r>
        <w:rPr>
          <w:rFonts w:ascii="仿宋_GB2312" w:hAnsi="仿宋_GB2312" w:eastAsia="仿宋_GB2312" w:cs="仿宋_GB2312"/>
          <w:snapToGrid/>
          <w:kern w:val="2"/>
          <w:sz w:val="32"/>
          <w:szCs w:val="32"/>
          <w:lang w:eastAsia="zh-CN"/>
        </w:rPr>
        <w:t>万元</w:t>
      </w:r>
      <w:r>
        <w:rPr>
          <w:rFonts w:hint="eastAsia" w:ascii="仿宋_GB2312" w:hAnsi="仿宋_GB2312" w:eastAsia="仿宋_GB2312" w:cs="仿宋_GB2312"/>
          <w:snapToGrid/>
          <w:kern w:val="2"/>
          <w:sz w:val="32"/>
          <w:szCs w:val="32"/>
          <w:lang w:eastAsia="zh-CN"/>
        </w:rPr>
        <w:t>（其中基本支出</w:t>
      </w:r>
      <w:r>
        <w:rPr>
          <w:rFonts w:hint="eastAsia" w:ascii="仿宋_GB2312" w:hAnsi="仿宋_GB2312" w:eastAsia="仿宋_GB2312" w:cs="仿宋_GB2312"/>
          <w:snapToGrid/>
          <w:kern w:val="2"/>
          <w:sz w:val="32"/>
          <w:szCs w:val="32"/>
          <w:lang w:val="en-US" w:eastAsia="zh-CN"/>
        </w:rPr>
        <w:t>1125.34</w:t>
      </w:r>
      <w:r>
        <w:rPr>
          <w:rFonts w:hint="eastAsia" w:ascii="仿宋_GB2312" w:hAnsi="仿宋_GB2312" w:eastAsia="仿宋_GB2312" w:cs="仿宋_GB2312"/>
          <w:snapToGrid/>
          <w:kern w:val="2"/>
          <w:sz w:val="32"/>
          <w:szCs w:val="32"/>
          <w:lang w:eastAsia="zh-CN"/>
        </w:rPr>
        <w:t>万元、项目支出</w:t>
      </w:r>
      <w:r>
        <w:rPr>
          <w:rFonts w:hint="eastAsia" w:ascii="仿宋_GB2312" w:hAnsi="仿宋_GB2312" w:eastAsia="仿宋_GB2312" w:cs="仿宋_GB2312"/>
          <w:snapToGrid/>
          <w:kern w:val="2"/>
          <w:sz w:val="32"/>
          <w:szCs w:val="32"/>
          <w:lang w:val="en-US" w:eastAsia="zh-CN"/>
        </w:rPr>
        <w:t>694.34</w:t>
      </w:r>
      <w:r>
        <w:rPr>
          <w:rFonts w:hint="eastAsia" w:ascii="仿宋_GB2312" w:hAnsi="仿宋_GB2312" w:eastAsia="仿宋_GB2312" w:cs="仿宋_GB2312"/>
          <w:snapToGrid/>
          <w:kern w:val="2"/>
          <w:sz w:val="32"/>
          <w:szCs w:val="32"/>
          <w:lang w:eastAsia="zh-CN"/>
        </w:rPr>
        <w:t>万元）</w:t>
      </w:r>
      <w:r>
        <w:rPr>
          <w:rFonts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eastAsia="zh-CN"/>
        </w:rPr>
        <w:t>决算支出</w:t>
      </w:r>
      <w:r>
        <w:rPr>
          <w:rFonts w:hint="eastAsia" w:ascii="仿宋_GB2312" w:hAnsi="仿宋_GB2312" w:eastAsia="仿宋_GB2312" w:cs="仿宋_GB2312"/>
          <w:snapToGrid/>
          <w:kern w:val="2"/>
          <w:sz w:val="32"/>
          <w:szCs w:val="32"/>
          <w:lang w:val="en-US" w:eastAsia="zh-CN"/>
        </w:rPr>
        <w:t>1819.68</w:t>
      </w:r>
      <w:r>
        <w:rPr>
          <w:rFonts w:hint="eastAsia" w:ascii="仿宋_GB2312" w:hAnsi="仿宋_GB2312" w:eastAsia="仿宋_GB2312" w:cs="仿宋_GB2312"/>
          <w:snapToGrid/>
          <w:kern w:val="2"/>
          <w:sz w:val="32"/>
          <w:szCs w:val="32"/>
          <w:lang w:eastAsia="zh-CN"/>
        </w:rPr>
        <w:t>万元（其中基本支出</w:t>
      </w:r>
      <w:r>
        <w:rPr>
          <w:rFonts w:hint="eastAsia" w:ascii="仿宋_GB2312" w:hAnsi="仿宋_GB2312" w:eastAsia="仿宋_GB2312" w:cs="仿宋_GB2312"/>
          <w:snapToGrid/>
          <w:kern w:val="2"/>
          <w:sz w:val="32"/>
          <w:szCs w:val="32"/>
          <w:lang w:val="en-US" w:eastAsia="zh-CN"/>
        </w:rPr>
        <w:t>1125.34</w:t>
      </w:r>
      <w:r>
        <w:rPr>
          <w:rFonts w:hint="eastAsia" w:ascii="仿宋_GB2312" w:hAnsi="仿宋_GB2312" w:eastAsia="仿宋_GB2312" w:cs="仿宋_GB2312"/>
          <w:snapToGrid/>
          <w:kern w:val="2"/>
          <w:sz w:val="32"/>
          <w:szCs w:val="32"/>
          <w:lang w:eastAsia="zh-CN"/>
        </w:rPr>
        <w:t>万元、项目支出</w:t>
      </w:r>
      <w:r>
        <w:rPr>
          <w:rFonts w:hint="eastAsia" w:ascii="仿宋_GB2312" w:hAnsi="仿宋_GB2312" w:eastAsia="仿宋_GB2312" w:cs="仿宋_GB2312"/>
          <w:snapToGrid/>
          <w:kern w:val="2"/>
          <w:sz w:val="32"/>
          <w:szCs w:val="32"/>
          <w:lang w:val="en-US" w:eastAsia="zh-CN"/>
        </w:rPr>
        <w:t>694.34</w:t>
      </w:r>
      <w:r>
        <w:rPr>
          <w:rFonts w:hint="eastAsia" w:ascii="仿宋_GB2312" w:hAnsi="仿宋_GB2312" w:eastAsia="仿宋_GB2312" w:cs="仿宋_GB2312"/>
          <w:snapToGrid/>
          <w:kern w:val="2"/>
          <w:sz w:val="32"/>
          <w:szCs w:val="32"/>
          <w:lang w:eastAsia="zh-CN"/>
        </w:rPr>
        <w:t>万元），预算执行率100%。详见表</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w:t>
      </w:r>
    </w:p>
    <w:p w14:paraId="3FD3438F">
      <w:pPr>
        <w:widowControl w:val="0"/>
        <w:kinsoku/>
        <w:autoSpaceDE/>
        <w:autoSpaceDN/>
        <w:adjustRightInd/>
        <w:snapToGrid/>
        <w:spacing w:line="560" w:lineRule="exact"/>
        <w:contextualSpacing/>
        <w:jc w:val="center"/>
        <w:textAlignment w:val="auto"/>
        <w:rPr>
          <w:rFonts w:hint="eastAsia" w:ascii="仿宋_GB2312" w:hAnsi="仿宋_GB2312" w:eastAsia="仿宋_GB2312" w:cs="仿宋_GB2312"/>
          <w:snapToGrid/>
          <w:kern w:val="2"/>
          <w:sz w:val="28"/>
          <w:szCs w:val="28"/>
          <w:lang w:eastAsia="zh-CN"/>
        </w:rPr>
      </w:pPr>
    </w:p>
    <w:p w14:paraId="6521D7B1">
      <w:pPr>
        <w:widowControl w:val="0"/>
        <w:kinsoku/>
        <w:autoSpaceDE/>
        <w:autoSpaceDN/>
        <w:adjustRightInd/>
        <w:snapToGrid/>
        <w:spacing w:line="560" w:lineRule="exact"/>
        <w:contextualSpacing/>
        <w:jc w:val="center"/>
        <w:textAlignment w:val="auto"/>
        <w:rPr>
          <w:rFonts w:hint="eastAsia" w:ascii="仿宋_GB2312" w:hAnsi="仿宋_GB2312" w:eastAsia="仿宋_GB2312" w:cs="仿宋_GB2312"/>
          <w:snapToGrid/>
          <w:kern w:val="2"/>
          <w:sz w:val="28"/>
          <w:szCs w:val="28"/>
          <w:lang w:eastAsia="zh-CN"/>
        </w:rPr>
      </w:pPr>
    </w:p>
    <w:p w14:paraId="0534790E">
      <w:pPr>
        <w:widowControl w:val="0"/>
        <w:kinsoku/>
        <w:autoSpaceDE/>
        <w:autoSpaceDN/>
        <w:adjustRightInd/>
        <w:snapToGrid/>
        <w:spacing w:line="560" w:lineRule="exact"/>
        <w:contextualSpacing/>
        <w:jc w:val="center"/>
        <w:textAlignment w:val="auto"/>
        <w:rPr>
          <w:rFonts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表</w:t>
      </w:r>
      <w:r>
        <w:rPr>
          <w:rFonts w:hint="eastAsia" w:ascii="仿宋_GB2312" w:hAnsi="仿宋_GB2312" w:eastAsia="仿宋_GB2312" w:cs="仿宋_GB2312"/>
          <w:snapToGrid/>
          <w:kern w:val="2"/>
          <w:sz w:val="28"/>
          <w:szCs w:val="28"/>
          <w:lang w:val="en-US" w:eastAsia="zh-CN"/>
        </w:rPr>
        <w:t>3</w:t>
      </w:r>
      <w:r>
        <w:rPr>
          <w:rFonts w:hint="eastAsia" w:ascii="仿宋_GB2312" w:hAnsi="仿宋_GB2312" w:eastAsia="仿宋_GB2312" w:cs="仿宋_GB2312"/>
          <w:snapToGrid/>
          <w:kern w:val="2"/>
          <w:sz w:val="28"/>
          <w:szCs w:val="28"/>
          <w:lang w:eastAsia="zh-CN"/>
        </w:rPr>
        <w:t>：202</w:t>
      </w:r>
      <w:r>
        <w:rPr>
          <w:rFonts w:hint="eastAsia" w:ascii="仿宋_GB2312" w:hAnsi="仿宋_GB2312" w:eastAsia="仿宋_GB2312" w:cs="仿宋_GB2312"/>
          <w:snapToGrid/>
          <w:kern w:val="2"/>
          <w:sz w:val="28"/>
          <w:szCs w:val="28"/>
          <w:lang w:val="en-US" w:eastAsia="zh-CN"/>
        </w:rPr>
        <w:t>4</w:t>
      </w:r>
      <w:r>
        <w:rPr>
          <w:rFonts w:hint="eastAsia" w:ascii="仿宋_GB2312" w:hAnsi="仿宋_GB2312" w:eastAsia="仿宋_GB2312" w:cs="仿宋_GB2312"/>
          <w:snapToGrid/>
          <w:kern w:val="2"/>
          <w:sz w:val="28"/>
          <w:szCs w:val="28"/>
          <w:lang w:eastAsia="zh-CN"/>
        </w:rPr>
        <w:t>年度仲裁办预算收支总体情况表</w:t>
      </w:r>
    </w:p>
    <w:p w14:paraId="74FB8BB9">
      <w:pPr>
        <w:widowControl w:val="0"/>
        <w:kinsoku/>
        <w:autoSpaceDE/>
        <w:autoSpaceDN/>
        <w:adjustRightInd/>
        <w:snapToGrid/>
        <w:spacing w:line="560" w:lineRule="exact"/>
        <w:contextualSpacing/>
        <w:jc w:val="right"/>
        <w:textAlignment w:val="auto"/>
        <w:rPr>
          <w:rFonts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单位：万元</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4"/>
        <w:gridCol w:w="1736"/>
        <w:gridCol w:w="1483"/>
        <w:gridCol w:w="1569"/>
        <w:gridCol w:w="1686"/>
        <w:gridCol w:w="1442"/>
      </w:tblGrid>
      <w:tr w14:paraId="1386F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310" w:type="pct"/>
            <w:shd w:val="clear" w:color="auto" w:fill="B6B8BC"/>
            <w:textDirection w:val="tbRlV"/>
            <w:vAlign w:val="center"/>
          </w:tcPr>
          <w:p w14:paraId="5AB3B814">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027" w:type="pct"/>
            <w:shd w:val="clear" w:color="auto" w:fill="B6B8BB"/>
            <w:vAlign w:val="center"/>
          </w:tcPr>
          <w:p w14:paraId="356BA0A3">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878" w:type="pct"/>
            <w:shd w:val="clear" w:color="auto" w:fill="B7B9BC"/>
            <w:vAlign w:val="center"/>
          </w:tcPr>
          <w:p w14:paraId="6B5A2558">
            <w:pPr>
              <w:jc w:val="center"/>
              <w:rPr>
                <w:rFonts w:hint="eastAsia" w:ascii="仿宋" w:hAnsi="仿宋" w:eastAsia="仿宋" w:cs="仿宋"/>
                <w:sz w:val="24"/>
                <w:szCs w:val="24"/>
              </w:rPr>
            </w:pPr>
            <w:r>
              <w:rPr>
                <w:rFonts w:hint="eastAsia" w:ascii="仿宋" w:hAnsi="仿宋" w:eastAsia="仿宋" w:cs="仿宋"/>
                <w:sz w:val="24"/>
                <w:szCs w:val="24"/>
              </w:rPr>
              <w:t>年初</w:t>
            </w:r>
          </w:p>
          <w:p w14:paraId="4C43C330">
            <w:pPr>
              <w:jc w:val="center"/>
              <w:rPr>
                <w:rFonts w:hint="eastAsia" w:ascii="仿宋" w:hAnsi="仿宋" w:eastAsia="仿宋" w:cs="仿宋"/>
                <w:sz w:val="24"/>
                <w:szCs w:val="24"/>
              </w:rPr>
            </w:pPr>
            <w:r>
              <w:rPr>
                <w:rFonts w:hint="eastAsia" w:ascii="仿宋" w:hAnsi="仿宋" w:eastAsia="仿宋" w:cs="仿宋"/>
                <w:sz w:val="24"/>
                <w:szCs w:val="24"/>
              </w:rPr>
              <w:t>预算数</w:t>
            </w:r>
          </w:p>
        </w:tc>
        <w:tc>
          <w:tcPr>
            <w:tcW w:w="929" w:type="pct"/>
            <w:shd w:val="clear" w:color="auto" w:fill="B7B8BB"/>
            <w:vAlign w:val="center"/>
          </w:tcPr>
          <w:p w14:paraId="4CBBFB0F">
            <w:pPr>
              <w:jc w:val="center"/>
              <w:rPr>
                <w:rFonts w:hint="eastAsia" w:ascii="仿宋" w:hAnsi="仿宋" w:eastAsia="仿宋" w:cs="仿宋"/>
                <w:sz w:val="24"/>
                <w:szCs w:val="24"/>
              </w:rPr>
            </w:pPr>
            <w:r>
              <w:rPr>
                <w:rFonts w:hint="eastAsia" w:ascii="仿宋" w:hAnsi="仿宋" w:eastAsia="仿宋" w:cs="仿宋"/>
                <w:sz w:val="24"/>
                <w:szCs w:val="24"/>
              </w:rPr>
              <w:t>预算</w:t>
            </w:r>
          </w:p>
          <w:p w14:paraId="4DD2DE76">
            <w:pPr>
              <w:jc w:val="center"/>
              <w:rPr>
                <w:rFonts w:hint="eastAsia" w:ascii="仿宋" w:hAnsi="仿宋" w:eastAsia="仿宋" w:cs="仿宋"/>
                <w:sz w:val="24"/>
                <w:szCs w:val="24"/>
              </w:rPr>
            </w:pPr>
            <w:r>
              <w:rPr>
                <w:rFonts w:hint="eastAsia" w:ascii="仿宋" w:hAnsi="仿宋" w:eastAsia="仿宋" w:cs="仿宋"/>
                <w:sz w:val="24"/>
                <w:szCs w:val="24"/>
              </w:rPr>
              <w:t>调整数</w:t>
            </w:r>
          </w:p>
        </w:tc>
        <w:tc>
          <w:tcPr>
            <w:tcW w:w="998" w:type="pct"/>
            <w:shd w:val="clear" w:color="auto" w:fill="B8B8BB"/>
            <w:vAlign w:val="center"/>
          </w:tcPr>
          <w:p w14:paraId="6869D39B">
            <w:pPr>
              <w:jc w:val="center"/>
              <w:rPr>
                <w:rFonts w:hint="eastAsia" w:ascii="仿宋" w:hAnsi="仿宋" w:eastAsia="仿宋" w:cs="仿宋"/>
                <w:sz w:val="24"/>
                <w:szCs w:val="24"/>
              </w:rPr>
            </w:pPr>
            <w:r>
              <w:rPr>
                <w:rFonts w:hint="eastAsia" w:ascii="仿宋" w:hAnsi="仿宋" w:eastAsia="仿宋" w:cs="仿宋"/>
                <w:sz w:val="24"/>
                <w:szCs w:val="24"/>
              </w:rPr>
              <w:t>实际</w:t>
            </w:r>
          </w:p>
          <w:p w14:paraId="18713036">
            <w:pPr>
              <w:jc w:val="center"/>
              <w:rPr>
                <w:rFonts w:hint="eastAsia" w:ascii="仿宋" w:hAnsi="仿宋" w:eastAsia="仿宋" w:cs="仿宋"/>
                <w:sz w:val="24"/>
                <w:szCs w:val="24"/>
              </w:rPr>
            </w:pPr>
            <w:r>
              <w:rPr>
                <w:rFonts w:hint="eastAsia" w:ascii="仿宋" w:hAnsi="仿宋" w:eastAsia="仿宋" w:cs="仿宋"/>
                <w:sz w:val="24"/>
                <w:szCs w:val="24"/>
              </w:rPr>
              <w:t>支出数</w:t>
            </w:r>
          </w:p>
        </w:tc>
        <w:tc>
          <w:tcPr>
            <w:tcW w:w="854" w:type="pct"/>
            <w:shd w:val="clear" w:color="auto" w:fill="B6B7BB"/>
            <w:vAlign w:val="center"/>
          </w:tcPr>
          <w:p w14:paraId="0ADF0FC1">
            <w:pPr>
              <w:jc w:val="center"/>
              <w:rPr>
                <w:rFonts w:hint="eastAsia" w:ascii="仿宋" w:hAnsi="仿宋" w:eastAsia="仿宋" w:cs="仿宋"/>
                <w:sz w:val="24"/>
                <w:szCs w:val="24"/>
              </w:rPr>
            </w:pPr>
            <w:r>
              <w:rPr>
                <w:rFonts w:hint="eastAsia" w:ascii="仿宋" w:hAnsi="仿宋" w:eastAsia="仿宋" w:cs="仿宋"/>
                <w:sz w:val="24"/>
                <w:szCs w:val="24"/>
              </w:rPr>
              <w:t>预算</w:t>
            </w:r>
          </w:p>
          <w:p w14:paraId="3E64284D">
            <w:pPr>
              <w:jc w:val="center"/>
              <w:rPr>
                <w:rFonts w:hint="eastAsia" w:ascii="仿宋" w:hAnsi="仿宋" w:eastAsia="仿宋" w:cs="仿宋"/>
                <w:sz w:val="24"/>
                <w:szCs w:val="24"/>
              </w:rPr>
            </w:pPr>
            <w:r>
              <w:rPr>
                <w:rFonts w:hint="eastAsia" w:ascii="仿宋" w:hAnsi="仿宋" w:eastAsia="仿宋" w:cs="仿宋"/>
                <w:sz w:val="24"/>
                <w:szCs w:val="24"/>
              </w:rPr>
              <w:t>执行率</w:t>
            </w:r>
          </w:p>
        </w:tc>
      </w:tr>
      <w:tr w14:paraId="477E1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10" w:type="pct"/>
            <w:vAlign w:val="center"/>
          </w:tcPr>
          <w:p w14:paraId="2AEC3A7F">
            <w:pPr>
              <w:jc w:val="center"/>
              <w:rPr>
                <w:rFonts w:hint="eastAsia" w:ascii="仿宋" w:hAnsi="仿宋" w:eastAsia="仿宋" w:cs="仿宋"/>
                <w:sz w:val="24"/>
                <w:szCs w:val="24"/>
              </w:rPr>
            </w:pPr>
            <w:r>
              <w:rPr>
                <w:rFonts w:hint="eastAsia" w:ascii="仿宋" w:hAnsi="仿宋" w:eastAsia="仿宋" w:cs="仿宋"/>
                <w:sz w:val="24"/>
                <w:szCs w:val="24"/>
              </w:rPr>
              <w:t>一</w:t>
            </w:r>
          </w:p>
        </w:tc>
        <w:tc>
          <w:tcPr>
            <w:tcW w:w="1027" w:type="pct"/>
            <w:vAlign w:val="center"/>
          </w:tcPr>
          <w:p w14:paraId="046F7439">
            <w:pPr>
              <w:jc w:val="center"/>
              <w:rPr>
                <w:rFonts w:hint="eastAsia" w:ascii="仿宋" w:hAnsi="仿宋" w:eastAsia="仿宋" w:cs="仿宋"/>
                <w:sz w:val="24"/>
                <w:szCs w:val="24"/>
              </w:rPr>
            </w:pPr>
            <w:r>
              <w:rPr>
                <w:rFonts w:hint="eastAsia" w:ascii="仿宋" w:hAnsi="仿宋" w:eastAsia="仿宋" w:cs="仿宋"/>
                <w:sz w:val="24"/>
                <w:szCs w:val="24"/>
              </w:rPr>
              <w:t>基本支出</w:t>
            </w:r>
          </w:p>
        </w:tc>
        <w:tc>
          <w:tcPr>
            <w:tcW w:w="878" w:type="pct"/>
            <w:vAlign w:val="center"/>
          </w:tcPr>
          <w:p w14:paraId="76823F1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1104.65</w:t>
            </w:r>
          </w:p>
        </w:tc>
        <w:tc>
          <w:tcPr>
            <w:tcW w:w="929" w:type="pct"/>
            <w:vAlign w:val="center"/>
          </w:tcPr>
          <w:p w14:paraId="09497BA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1125.34</w:t>
            </w:r>
          </w:p>
        </w:tc>
        <w:tc>
          <w:tcPr>
            <w:tcW w:w="998" w:type="pct"/>
            <w:vAlign w:val="center"/>
          </w:tcPr>
          <w:p w14:paraId="3FEF605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1125.34</w:t>
            </w:r>
          </w:p>
        </w:tc>
        <w:tc>
          <w:tcPr>
            <w:tcW w:w="854" w:type="pct"/>
            <w:vAlign w:val="center"/>
          </w:tcPr>
          <w:p w14:paraId="20D558FB">
            <w:pPr>
              <w:jc w:val="center"/>
              <w:rPr>
                <w:rFonts w:hint="eastAsia" w:ascii="仿宋" w:hAnsi="仿宋" w:eastAsia="仿宋" w:cs="仿宋"/>
                <w:sz w:val="24"/>
                <w:szCs w:val="24"/>
              </w:rPr>
            </w:pPr>
            <w:r>
              <w:rPr>
                <w:rFonts w:hint="eastAsia" w:ascii="仿宋" w:hAnsi="仿宋" w:eastAsia="仿宋" w:cs="仿宋"/>
                <w:sz w:val="24"/>
                <w:szCs w:val="24"/>
              </w:rPr>
              <w:t>100.00%</w:t>
            </w:r>
          </w:p>
        </w:tc>
      </w:tr>
      <w:tr w14:paraId="5CB84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10" w:type="pct"/>
            <w:vAlign w:val="center"/>
          </w:tcPr>
          <w:p w14:paraId="5CE1F7D6">
            <w:pPr>
              <w:jc w:val="center"/>
              <w:rPr>
                <w:rFonts w:hint="eastAsia" w:ascii="仿宋" w:hAnsi="仿宋" w:eastAsia="仿宋" w:cs="仿宋"/>
                <w:sz w:val="24"/>
                <w:szCs w:val="24"/>
              </w:rPr>
            </w:pPr>
            <w:r>
              <w:rPr>
                <w:rFonts w:hint="eastAsia" w:ascii="仿宋" w:hAnsi="仿宋" w:eastAsia="仿宋" w:cs="仿宋"/>
                <w:sz w:val="24"/>
                <w:szCs w:val="24"/>
              </w:rPr>
              <w:t>1</w:t>
            </w:r>
          </w:p>
        </w:tc>
        <w:tc>
          <w:tcPr>
            <w:tcW w:w="1027" w:type="pct"/>
            <w:vAlign w:val="center"/>
          </w:tcPr>
          <w:p w14:paraId="4ADCA5E6">
            <w:pPr>
              <w:jc w:val="center"/>
              <w:rPr>
                <w:rFonts w:hint="eastAsia" w:ascii="仿宋" w:hAnsi="仿宋" w:eastAsia="仿宋" w:cs="仿宋"/>
                <w:sz w:val="24"/>
                <w:szCs w:val="24"/>
              </w:rPr>
            </w:pPr>
            <w:r>
              <w:rPr>
                <w:rFonts w:hint="eastAsia" w:ascii="仿宋" w:hAnsi="仿宋" w:eastAsia="仿宋" w:cs="仿宋"/>
                <w:sz w:val="24"/>
                <w:szCs w:val="24"/>
              </w:rPr>
              <w:t>人员经费</w:t>
            </w:r>
          </w:p>
        </w:tc>
        <w:tc>
          <w:tcPr>
            <w:tcW w:w="878" w:type="pct"/>
            <w:vAlign w:val="center"/>
          </w:tcPr>
          <w:p w14:paraId="6D721E2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1012.91</w:t>
            </w:r>
          </w:p>
        </w:tc>
        <w:tc>
          <w:tcPr>
            <w:tcW w:w="929" w:type="pct"/>
            <w:vAlign w:val="center"/>
          </w:tcPr>
          <w:p w14:paraId="0D6A27A1">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1036.76</w:t>
            </w:r>
          </w:p>
        </w:tc>
        <w:tc>
          <w:tcPr>
            <w:tcW w:w="998" w:type="pct"/>
            <w:vAlign w:val="center"/>
          </w:tcPr>
          <w:p w14:paraId="1A6C610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1036.76</w:t>
            </w:r>
          </w:p>
        </w:tc>
        <w:tc>
          <w:tcPr>
            <w:tcW w:w="854" w:type="pct"/>
            <w:vAlign w:val="center"/>
          </w:tcPr>
          <w:p w14:paraId="77944900">
            <w:pPr>
              <w:jc w:val="center"/>
              <w:rPr>
                <w:rFonts w:hint="eastAsia" w:ascii="仿宋" w:hAnsi="仿宋" w:eastAsia="仿宋" w:cs="仿宋"/>
                <w:sz w:val="24"/>
                <w:szCs w:val="24"/>
              </w:rPr>
            </w:pPr>
            <w:r>
              <w:rPr>
                <w:rFonts w:hint="eastAsia" w:ascii="仿宋" w:hAnsi="仿宋" w:eastAsia="仿宋" w:cs="仿宋"/>
                <w:sz w:val="24"/>
                <w:szCs w:val="24"/>
              </w:rPr>
              <w:t>100.00%</w:t>
            </w:r>
          </w:p>
        </w:tc>
      </w:tr>
      <w:tr w14:paraId="620CC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310" w:type="pct"/>
            <w:vAlign w:val="center"/>
          </w:tcPr>
          <w:p w14:paraId="0D382E41">
            <w:pPr>
              <w:jc w:val="center"/>
              <w:rPr>
                <w:rFonts w:hint="eastAsia" w:ascii="仿宋" w:hAnsi="仿宋" w:eastAsia="仿宋" w:cs="仿宋"/>
                <w:sz w:val="24"/>
                <w:szCs w:val="24"/>
              </w:rPr>
            </w:pPr>
            <w:r>
              <w:rPr>
                <w:rFonts w:hint="eastAsia" w:ascii="仿宋" w:hAnsi="仿宋" w:eastAsia="仿宋" w:cs="仿宋"/>
                <w:sz w:val="24"/>
                <w:szCs w:val="24"/>
              </w:rPr>
              <w:t>2</w:t>
            </w:r>
          </w:p>
        </w:tc>
        <w:tc>
          <w:tcPr>
            <w:tcW w:w="1027" w:type="pct"/>
            <w:vAlign w:val="center"/>
          </w:tcPr>
          <w:p w14:paraId="00FA8665">
            <w:pPr>
              <w:jc w:val="center"/>
              <w:rPr>
                <w:rFonts w:hint="eastAsia" w:ascii="仿宋" w:hAnsi="仿宋" w:eastAsia="仿宋" w:cs="仿宋"/>
                <w:sz w:val="24"/>
                <w:szCs w:val="24"/>
              </w:rPr>
            </w:pPr>
            <w:r>
              <w:rPr>
                <w:rFonts w:hint="eastAsia" w:ascii="仿宋" w:hAnsi="仿宋" w:eastAsia="仿宋" w:cs="仿宋"/>
                <w:sz w:val="24"/>
                <w:szCs w:val="24"/>
              </w:rPr>
              <w:t>公用经费</w:t>
            </w:r>
          </w:p>
        </w:tc>
        <w:tc>
          <w:tcPr>
            <w:tcW w:w="878" w:type="pct"/>
            <w:vAlign w:val="center"/>
          </w:tcPr>
          <w:p w14:paraId="7FC50A7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91.74</w:t>
            </w:r>
          </w:p>
        </w:tc>
        <w:tc>
          <w:tcPr>
            <w:tcW w:w="929" w:type="pct"/>
            <w:vAlign w:val="center"/>
          </w:tcPr>
          <w:p w14:paraId="0EEF70E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88.58</w:t>
            </w:r>
          </w:p>
        </w:tc>
        <w:tc>
          <w:tcPr>
            <w:tcW w:w="998" w:type="pct"/>
            <w:vAlign w:val="center"/>
          </w:tcPr>
          <w:p w14:paraId="6FB135D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88.58</w:t>
            </w:r>
          </w:p>
        </w:tc>
        <w:tc>
          <w:tcPr>
            <w:tcW w:w="854" w:type="pct"/>
            <w:vAlign w:val="center"/>
          </w:tcPr>
          <w:p w14:paraId="72C553D8">
            <w:pPr>
              <w:jc w:val="center"/>
              <w:rPr>
                <w:rFonts w:hint="eastAsia" w:ascii="仿宋" w:hAnsi="仿宋" w:eastAsia="仿宋" w:cs="仿宋"/>
                <w:sz w:val="24"/>
                <w:szCs w:val="24"/>
              </w:rPr>
            </w:pPr>
            <w:r>
              <w:rPr>
                <w:rFonts w:hint="eastAsia" w:ascii="仿宋" w:hAnsi="仿宋" w:eastAsia="仿宋" w:cs="仿宋"/>
                <w:sz w:val="24"/>
                <w:szCs w:val="24"/>
              </w:rPr>
              <w:t>100.00%</w:t>
            </w:r>
          </w:p>
        </w:tc>
      </w:tr>
      <w:tr w14:paraId="246B2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10" w:type="pct"/>
            <w:vAlign w:val="center"/>
          </w:tcPr>
          <w:p w14:paraId="18D1394D">
            <w:pPr>
              <w:jc w:val="center"/>
              <w:rPr>
                <w:rFonts w:hint="eastAsia" w:ascii="仿宋" w:hAnsi="仿宋" w:eastAsia="仿宋" w:cs="仿宋"/>
                <w:sz w:val="24"/>
                <w:szCs w:val="24"/>
              </w:rPr>
            </w:pPr>
            <w:r>
              <w:rPr>
                <w:rFonts w:hint="eastAsia" w:ascii="仿宋" w:hAnsi="仿宋" w:eastAsia="仿宋" w:cs="仿宋"/>
                <w:sz w:val="24"/>
                <w:szCs w:val="24"/>
              </w:rPr>
              <w:t>二</w:t>
            </w:r>
          </w:p>
        </w:tc>
        <w:tc>
          <w:tcPr>
            <w:tcW w:w="1027" w:type="pct"/>
            <w:vAlign w:val="center"/>
          </w:tcPr>
          <w:p w14:paraId="76E802AA">
            <w:pPr>
              <w:jc w:val="center"/>
              <w:rPr>
                <w:rFonts w:hint="eastAsia" w:ascii="仿宋" w:hAnsi="仿宋" w:eastAsia="仿宋" w:cs="仿宋"/>
                <w:sz w:val="24"/>
                <w:szCs w:val="24"/>
              </w:rPr>
            </w:pPr>
            <w:r>
              <w:rPr>
                <w:rFonts w:hint="eastAsia" w:ascii="仿宋" w:hAnsi="仿宋" w:eastAsia="仿宋" w:cs="仿宋"/>
                <w:sz w:val="24"/>
                <w:szCs w:val="24"/>
              </w:rPr>
              <w:t>项目支出</w:t>
            </w:r>
          </w:p>
        </w:tc>
        <w:tc>
          <w:tcPr>
            <w:tcW w:w="878" w:type="pct"/>
            <w:vAlign w:val="center"/>
          </w:tcPr>
          <w:p w14:paraId="0B030E25">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709.6</w:t>
            </w:r>
          </w:p>
        </w:tc>
        <w:tc>
          <w:tcPr>
            <w:tcW w:w="929" w:type="pct"/>
            <w:vAlign w:val="center"/>
          </w:tcPr>
          <w:p w14:paraId="756E930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694.34</w:t>
            </w:r>
          </w:p>
        </w:tc>
        <w:tc>
          <w:tcPr>
            <w:tcW w:w="998" w:type="pct"/>
            <w:vAlign w:val="center"/>
          </w:tcPr>
          <w:p w14:paraId="41E4492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694.34</w:t>
            </w:r>
          </w:p>
        </w:tc>
        <w:tc>
          <w:tcPr>
            <w:tcW w:w="854" w:type="pct"/>
            <w:vAlign w:val="center"/>
          </w:tcPr>
          <w:p w14:paraId="0018C6CF">
            <w:pPr>
              <w:jc w:val="center"/>
              <w:rPr>
                <w:rFonts w:hint="eastAsia" w:ascii="仿宋" w:hAnsi="仿宋" w:eastAsia="仿宋" w:cs="仿宋"/>
                <w:sz w:val="24"/>
                <w:szCs w:val="24"/>
              </w:rPr>
            </w:pPr>
            <w:r>
              <w:rPr>
                <w:rFonts w:hint="eastAsia" w:ascii="仿宋" w:hAnsi="仿宋" w:eastAsia="仿宋" w:cs="仿宋"/>
                <w:sz w:val="24"/>
                <w:szCs w:val="24"/>
              </w:rPr>
              <w:t>100.00%</w:t>
            </w:r>
          </w:p>
        </w:tc>
      </w:tr>
      <w:tr w14:paraId="1DA94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338" w:type="pct"/>
            <w:gridSpan w:val="2"/>
            <w:vAlign w:val="center"/>
          </w:tcPr>
          <w:p w14:paraId="4FD63892">
            <w:pPr>
              <w:jc w:val="center"/>
              <w:rPr>
                <w:rFonts w:hint="eastAsia" w:ascii="仿宋" w:hAnsi="仿宋" w:eastAsia="仿宋" w:cs="仿宋"/>
                <w:sz w:val="24"/>
                <w:szCs w:val="24"/>
              </w:rPr>
            </w:pPr>
            <w:r>
              <w:rPr>
                <w:rFonts w:hint="eastAsia" w:ascii="仿宋" w:hAnsi="仿宋" w:eastAsia="仿宋" w:cs="仿宋"/>
                <w:sz w:val="24"/>
                <w:szCs w:val="24"/>
              </w:rPr>
              <w:t>合计</w:t>
            </w:r>
          </w:p>
        </w:tc>
        <w:tc>
          <w:tcPr>
            <w:tcW w:w="878" w:type="pct"/>
            <w:vAlign w:val="center"/>
          </w:tcPr>
          <w:p w14:paraId="3F66FFD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1814.25</w:t>
            </w:r>
          </w:p>
        </w:tc>
        <w:tc>
          <w:tcPr>
            <w:tcW w:w="929" w:type="pct"/>
            <w:vAlign w:val="center"/>
          </w:tcPr>
          <w:p w14:paraId="0A05466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1819.68</w:t>
            </w:r>
          </w:p>
        </w:tc>
        <w:tc>
          <w:tcPr>
            <w:tcW w:w="998" w:type="pct"/>
            <w:vAlign w:val="center"/>
          </w:tcPr>
          <w:p w14:paraId="39D3649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1819.68</w:t>
            </w:r>
          </w:p>
        </w:tc>
        <w:tc>
          <w:tcPr>
            <w:tcW w:w="854" w:type="pct"/>
            <w:vAlign w:val="center"/>
          </w:tcPr>
          <w:p w14:paraId="686CE86D">
            <w:pPr>
              <w:jc w:val="center"/>
              <w:rPr>
                <w:rFonts w:hint="eastAsia" w:ascii="仿宋" w:hAnsi="仿宋" w:eastAsia="仿宋" w:cs="仿宋"/>
                <w:sz w:val="24"/>
                <w:szCs w:val="24"/>
              </w:rPr>
            </w:pPr>
            <w:r>
              <w:rPr>
                <w:rFonts w:hint="eastAsia" w:ascii="仿宋" w:hAnsi="仿宋" w:eastAsia="仿宋" w:cs="仿宋"/>
                <w:sz w:val="24"/>
                <w:szCs w:val="24"/>
              </w:rPr>
              <w:t>100.00%</w:t>
            </w:r>
          </w:p>
        </w:tc>
      </w:tr>
    </w:tbl>
    <w:p w14:paraId="389AC51C">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2、项目资金投入和实施情况</w:t>
      </w:r>
    </w:p>
    <w:p w14:paraId="68FC0DE8">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ascii="仿宋_GB2312" w:hAnsi="仿宋_GB2312" w:eastAsia="仿宋_GB2312" w:cs="仿宋_GB2312"/>
          <w:snapToGrid/>
          <w:kern w:val="2"/>
          <w:sz w:val="32"/>
          <w:szCs w:val="32"/>
          <w:lang w:eastAsia="zh-CN"/>
        </w:rPr>
        <w:t>202</w:t>
      </w:r>
      <w:r>
        <w:rPr>
          <w:rFonts w:hint="eastAsia" w:ascii="仿宋_GB2312" w:hAnsi="仿宋_GB2312" w:eastAsia="仿宋_GB2312" w:cs="仿宋_GB2312"/>
          <w:snapToGrid/>
          <w:kern w:val="2"/>
          <w:sz w:val="32"/>
          <w:szCs w:val="32"/>
          <w:lang w:val="en-US" w:eastAsia="zh-CN"/>
        </w:rPr>
        <w:t>4</w:t>
      </w:r>
      <w:r>
        <w:rPr>
          <w:rFonts w:ascii="仿宋_GB2312" w:hAnsi="仿宋_GB2312" w:eastAsia="仿宋_GB2312" w:cs="仿宋_GB2312"/>
          <w:snapToGrid/>
          <w:kern w:val="2"/>
          <w:sz w:val="32"/>
          <w:szCs w:val="32"/>
          <w:lang w:eastAsia="zh-CN"/>
        </w:rPr>
        <w:t>年度</w:t>
      </w:r>
      <w:r>
        <w:rPr>
          <w:rFonts w:hint="eastAsia" w:ascii="仿宋_GB2312" w:hAnsi="仿宋_GB2312" w:eastAsia="仿宋_GB2312" w:cs="仿宋_GB2312"/>
          <w:snapToGrid/>
          <w:kern w:val="2"/>
          <w:sz w:val="32"/>
          <w:szCs w:val="32"/>
          <w:lang w:eastAsia="zh-CN"/>
        </w:rPr>
        <w:t>我办</w:t>
      </w:r>
      <w:r>
        <w:rPr>
          <w:rFonts w:ascii="仿宋_GB2312" w:hAnsi="仿宋_GB2312" w:eastAsia="仿宋_GB2312" w:cs="仿宋_GB2312"/>
          <w:snapToGrid/>
          <w:kern w:val="2"/>
          <w:sz w:val="32"/>
          <w:szCs w:val="32"/>
          <w:lang w:eastAsia="zh-CN"/>
        </w:rPr>
        <w:t>共计实施仲裁员报酬、宣传拓展费、仲裁员培训、</w:t>
      </w:r>
      <w:r>
        <w:rPr>
          <w:rFonts w:hint="eastAsia" w:ascii="仿宋_GB2312" w:hAnsi="仿宋_GB2312" w:eastAsia="仿宋_GB2312" w:cs="仿宋_GB2312"/>
          <w:snapToGrid/>
          <w:kern w:val="2"/>
          <w:sz w:val="32"/>
          <w:szCs w:val="32"/>
          <w:lang w:eastAsia="zh-CN"/>
        </w:rPr>
        <w:t>仲裁庭办公经费、政务信息化专项资金、信创工程6</w:t>
      </w:r>
      <w:r>
        <w:rPr>
          <w:rFonts w:ascii="仿宋_GB2312" w:hAnsi="仿宋_GB2312" w:eastAsia="仿宋_GB2312" w:cs="仿宋_GB2312"/>
          <w:snapToGrid/>
          <w:kern w:val="2"/>
          <w:sz w:val="32"/>
          <w:szCs w:val="32"/>
          <w:lang w:eastAsia="zh-CN"/>
        </w:rPr>
        <w:t>个项目</w:t>
      </w:r>
      <w:r>
        <w:rPr>
          <w:rFonts w:hint="eastAsia" w:ascii="仿宋_GB2312" w:hAnsi="仿宋_GB2312" w:eastAsia="仿宋_GB2312" w:cs="仿宋_GB2312"/>
          <w:snapToGrid/>
          <w:kern w:val="2"/>
          <w:sz w:val="32"/>
          <w:szCs w:val="32"/>
          <w:lang w:eastAsia="zh-CN"/>
        </w:rPr>
        <w:t>（其中政务信息化专项资金为大数据局追加安排的智慧仲裁项目尾款、信创工程项目为市大数据局统一安排的国产化替代项目）</w:t>
      </w:r>
      <w:r>
        <w:rPr>
          <w:rFonts w:ascii="仿宋_GB2312" w:hAnsi="仿宋_GB2312" w:eastAsia="仿宋_GB2312" w:cs="仿宋_GB2312"/>
          <w:snapToGrid/>
          <w:kern w:val="2"/>
          <w:sz w:val="32"/>
          <w:szCs w:val="32"/>
          <w:lang w:eastAsia="zh-CN"/>
        </w:rPr>
        <w:t>，共计投入</w:t>
      </w:r>
      <w:r>
        <w:rPr>
          <w:rFonts w:hint="eastAsia" w:ascii="仿宋_GB2312" w:hAnsi="仿宋_GB2312" w:eastAsia="仿宋_GB2312" w:cs="仿宋_GB2312"/>
          <w:snapToGrid/>
          <w:kern w:val="2"/>
          <w:sz w:val="32"/>
          <w:szCs w:val="32"/>
          <w:lang w:val="en-US" w:eastAsia="zh-CN"/>
        </w:rPr>
        <w:t>694.34</w:t>
      </w:r>
      <w:r>
        <w:rPr>
          <w:rFonts w:ascii="仿宋_GB2312" w:hAnsi="仿宋_GB2312" w:eastAsia="仿宋_GB2312" w:cs="仿宋_GB2312"/>
          <w:snapToGrid/>
          <w:kern w:val="2"/>
          <w:sz w:val="32"/>
          <w:szCs w:val="32"/>
          <w:lang w:eastAsia="zh-CN"/>
        </w:rPr>
        <w:t>万元，实际支出</w:t>
      </w:r>
      <w:r>
        <w:rPr>
          <w:rFonts w:hint="eastAsia" w:ascii="仿宋_GB2312" w:hAnsi="仿宋_GB2312" w:eastAsia="仿宋_GB2312" w:cs="仿宋_GB2312"/>
          <w:snapToGrid/>
          <w:kern w:val="2"/>
          <w:sz w:val="32"/>
          <w:szCs w:val="32"/>
          <w:lang w:val="en-US" w:eastAsia="zh-CN"/>
        </w:rPr>
        <w:t>694.34</w:t>
      </w:r>
      <w:r>
        <w:rPr>
          <w:rFonts w:ascii="仿宋_GB2312" w:hAnsi="仿宋_GB2312" w:eastAsia="仿宋_GB2312" w:cs="仿宋_GB2312"/>
          <w:snapToGrid/>
          <w:kern w:val="2"/>
          <w:sz w:val="32"/>
          <w:szCs w:val="32"/>
          <w:lang w:eastAsia="zh-CN"/>
        </w:rPr>
        <w:t>万元预算执行率</w:t>
      </w:r>
      <w:r>
        <w:rPr>
          <w:rFonts w:hint="eastAsia" w:ascii="仿宋_GB2312" w:hAnsi="仿宋_GB2312" w:eastAsia="仿宋_GB2312" w:cs="仿宋_GB2312"/>
          <w:snapToGrid/>
          <w:kern w:val="2"/>
          <w:sz w:val="32"/>
          <w:szCs w:val="32"/>
          <w:lang w:eastAsia="zh-CN"/>
        </w:rPr>
        <w:t>100</w:t>
      </w:r>
      <w:r>
        <w:rPr>
          <w:rFonts w:ascii="仿宋_GB2312" w:hAnsi="仿宋_GB2312" w:eastAsia="仿宋_GB2312" w:cs="仿宋_GB2312"/>
          <w:snapToGrid/>
          <w:kern w:val="2"/>
          <w:sz w:val="32"/>
          <w:szCs w:val="32"/>
          <w:lang w:eastAsia="zh-CN"/>
        </w:rPr>
        <w:t>%。</w:t>
      </w:r>
    </w:p>
    <w:p w14:paraId="5BCF44B7">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28"/>
          <w:szCs w:val="28"/>
          <w:lang w:eastAsia="zh-CN"/>
        </w:rPr>
      </w:pPr>
      <w:r>
        <w:rPr>
          <w:rFonts w:ascii="仿宋_GB2312" w:hAnsi="仿宋_GB2312" w:eastAsia="仿宋_GB2312" w:cs="仿宋_GB2312"/>
          <w:snapToGrid/>
          <w:kern w:val="2"/>
          <w:sz w:val="32"/>
          <w:szCs w:val="32"/>
          <w:lang w:eastAsia="zh-CN"/>
        </w:rPr>
        <w:t>截止202</w:t>
      </w:r>
      <w:r>
        <w:rPr>
          <w:rFonts w:hint="eastAsia" w:ascii="仿宋_GB2312" w:hAnsi="仿宋_GB2312" w:eastAsia="仿宋_GB2312" w:cs="仿宋_GB2312"/>
          <w:snapToGrid/>
          <w:kern w:val="2"/>
          <w:sz w:val="32"/>
          <w:szCs w:val="32"/>
          <w:lang w:val="en-US" w:eastAsia="zh-CN"/>
        </w:rPr>
        <w:t>4</w:t>
      </w:r>
      <w:r>
        <w:rPr>
          <w:rFonts w:ascii="仿宋_GB2312" w:hAnsi="仿宋_GB2312" w:eastAsia="仿宋_GB2312" w:cs="仿宋_GB2312"/>
          <w:snapToGrid/>
          <w:kern w:val="2"/>
          <w:sz w:val="32"/>
          <w:szCs w:val="32"/>
          <w:lang w:eastAsia="zh-CN"/>
        </w:rPr>
        <w:t>年末，</w:t>
      </w:r>
      <w:r>
        <w:rPr>
          <w:rFonts w:hint="eastAsia" w:ascii="仿宋_GB2312" w:hAnsi="仿宋_GB2312" w:eastAsia="仿宋_GB2312" w:cs="仿宋_GB2312"/>
          <w:snapToGrid/>
          <w:kern w:val="2"/>
          <w:sz w:val="32"/>
          <w:szCs w:val="32"/>
          <w:lang w:eastAsia="zh-CN"/>
        </w:rPr>
        <w:t>6</w:t>
      </w:r>
      <w:r>
        <w:rPr>
          <w:rFonts w:ascii="仿宋_GB2312" w:hAnsi="仿宋_GB2312" w:eastAsia="仿宋_GB2312" w:cs="仿宋_GB2312"/>
          <w:snapToGrid/>
          <w:kern w:val="2"/>
          <w:sz w:val="32"/>
          <w:szCs w:val="32"/>
          <w:lang w:eastAsia="zh-CN"/>
        </w:rPr>
        <w:t>个项目的实施内容均已完成。具体情况见表</w:t>
      </w:r>
      <w:r>
        <w:rPr>
          <w:rFonts w:hint="eastAsia" w:ascii="仿宋_GB2312" w:hAnsi="仿宋_GB2312" w:eastAsia="仿宋_GB2312" w:cs="仿宋_GB2312"/>
          <w:snapToGrid/>
          <w:kern w:val="2"/>
          <w:sz w:val="32"/>
          <w:szCs w:val="32"/>
          <w:lang w:val="en-US" w:eastAsia="zh-CN"/>
        </w:rPr>
        <w:t>4</w:t>
      </w:r>
      <w:r>
        <w:rPr>
          <w:rFonts w:ascii="仿宋_GB2312" w:hAnsi="仿宋_GB2312" w:eastAsia="仿宋_GB2312" w:cs="仿宋_GB2312"/>
          <w:snapToGrid/>
          <w:kern w:val="2"/>
          <w:sz w:val="32"/>
          <w:szCs w:val="32"/>
          <w:lang w:eastAsia="zh-CN"/>
        </w:rPr>
        <w:t>:</w:t>
      </w:r>
    </w:p>
    <w:p w14:paraId="26B1208E">
      <w:pPr>
        <w:widowControl w:val="0"/>
        <w:kinsoku/>
        <w:autoSpaceDE/>
        <w:autoSpaceDN/>
        <w:adjustRightInd/>
        <w:snapToGrid/>
        <w:spacing w:line="560" w:lineRule="exact"/>
        <w:contextualSpacing/>
        <w:jc w:val="center"/>
        <w:textAlignment w:val="auto"/>
        <w:rPr>
          <w:lang w:eastAsia="zh-CN"/>
        </w:rPr>
      </w:pPr>
      <w:r>
        <w:rPr>
          <w:rFonts w:hint="eastAsia" w:ascii="仿宋_GB2312" w:hAnsi="仿宋_GB2312" w:eastAsia="仿宋_GB2312" w:cs="仿宋_GB2312"/>
          <w:snapToGrid/>
          <w:kern w:val="2"/>
          <w:sz w:val="28"/>
          <w:szCs w:val="28"/>
          <w:lang w:eastAsia="zh-CN"/>
        </w:rPr>
        <w:t>表</w:t>
      </w:r>
      <w:r>
        <w:rPr>
          <w:rFonts w:hint="eastAsia" w:ascii="仿宋_GB2312" w:hAnsi="仿宋_GB2312" w:eastAsia="仿宋_GB2312" w:cs="仿宋_GB2312"/>
          <w:snapToGrid/>
          <w:kern w:val="2"/>
          <w:sz w:val="28"/>
          <w:szCs w:val="28"/>
          <w:lang w:val="en-US" w:eastAsia="zh-CN"/>
        </w:rPr>
        <w:t>4</w:t>
      </w:r>
      <w:r>
        <w:rPr>
          <w:rFonts w:hint="eastAsia" w:ascii="仿宋_GB2312" w:hAnsi="仿宋_GB2312" w:eastAsia="仿宋_GB2312" w:cs="仿宋_GB2312"/>
          <w:snapToGrid/>
          <w:kern w:val="2"/>
          <w:sz w:val="28"/>
          <w:szCs w:val="28"/>
          <w:lang w:eastAsia="zh-CN"/>
        </w:rPr>
        <w:t>：202</w:t>
      </w:r>
      <w:r>
        <w:rPr>
          <w:rFonts w:hint="eastAsia" w:ascii="仿宋_GB2312" w:hAnsi="仿宋_GB2312" w:eastAsia="仿宋_GB2312" w:cs="仿宋_GB2312"/>
          <w:snapToGrid/>
          <w:kern w:val="2"/>
          <w:sz w:val="28"/>
          <w:szCs w:val="28"/>
          <w:lang w:val="en-US" w:eastAsia="zh-CN"/>
        </w:rPr>
        <w:t>4</w:t>
      </w:r>
      <w:r>
        <w:rPr>
          <w:rFonts w:hint="eastAsia" w:ascii="仿宋_GB2312" w:hAnsi="仿宋_GB2312" w:eastAsia="仿宋_GB2312" w:cs="仿宋_GB2312"/>
          <w:snapToGrid/>
          <w:kern w:val="2"/>
          <w:sz w:val="28"/>
          <w:szCs w:val="28"/>
          <w:lang w:eastAsia="zh-CN"/>
        </w:rPr>
        <w:t>年度仲裁办项目管理和实施情况一览表</w:t>
      </w:r>
    </w:p>
    <w:tbl>
      <w:tblPr>
        <w:tblStyle w:val="8"/>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7"/>
        <w:gridCol w:w="1224"/>
        <w:gridCol w:w="845"/>
        <w:gridCol w:w="4433"/>
        <w:gridCol w:w="1481"/>
      </w:tblGrid>
      <w:tr w14:paraId="1B545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76" w:type="pct"/>
            <w:shd w:val="clear" w:color="auto" w:fill="B7B8BC"/>
            <w:textDirection w:val="tbRlV"/>
            <w:vAlign w:val="center"/>
          </w:tcPr>
          <w:p w14:paraId="06DCF62A">
            <w:pPr>
              <w:jc w:val="center"/>
              <w:rPr>
                <w:rFonts w:hint="eastAsia" w:ascii="仿宋" w:hAnsi="仿宋" w:eastAsia="仿宋" w:cs="仿宋"/>
                <w:sz w:val="24"/>
                <w:szCs w:val="24"/>
                <w:lang w:eastAsia="zh-CN"/>
              </w:rPr>
            </w:pPr>
            <w:r>
              <w:rPr>
                <w:rFonts w:hint="eastAsia" w:ascii="仿宋" w:hAnsi="仿宋" w:eastAsia="仿宋" w:cs="仿宋"/>
                <w:lang w:eastAsia="zh-CN"/>
              </w:rPr>
              <w:t>序号</w:t>
            </w:r>
          </w:p>
        </w:tc>
        <w:tc>
          <w:tcPr>
            <w:tcW w:w="724" w:type="pct"/>
            <w:shd w:val="clear" w:color="auto" w:fill="B6B8BB"/>
            <w:vAlign w:val="center"/>
          </w:tcPr>
          <w:p w14:paraId="64C677E9">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500" w:type="pct"/>
            <w:shd w:val="clear" w:color="auto" w:fill="B7B8BC"/>
            <w:vAlign w:val="center"/>
          </w:tcPr>
          <w:p w14:paraId="73999DA9">
            <w:pPr>
              <w:jc w:val="center"/>
              <w:rPr>
                <w:rFonts w:hint="eastAsia" w:ascii="仿宋" w:hAnsi="仿宋" w:eastAsia="仿宋" w:cs="仿宋"/>
                <w:sz w:val="24"/>
                <w:szCs w:val="24"/>
                <w:lang w:eastAsia="zh-CN"/>
              </w:rPr>
            </w:pPr>
            <w:r>
              <w:rPr>
                <w:rFonts w:hint="eastAsia" w:ascii="仿宋" w:hAnsi="仿宋" w:eastAsia="仿宋" w:cs="仿宋"/>
                <w:sz w:val="24"/>
                <w:szCs w:val="24"/>
              </w:rPr>
              <w:t>金额</w:t>
            </w:r>
            <w:r>
              <w:rPr>
                <w:rFonts w:hint="eastAsia" w:ascii="仿宋" w:hAnsi="仿宋" w:eastAsia="仿宋" w:cs="仿宋"/>
                <w:sz w:val="24"/>
                <w:szCs w:val="24"/>
                <w:lang w:eastAsia="zh-CN"/>
              </w:rPr>
              <w:t>（万元）</w:t>
            </w:r>
          </w:p>
        </w:tc>
        <w:tc>
          <w:tcPr>
            <w:tcW w:w="2622" w:type="pct"/>
            <w:shd w:val="clear" w:color="auto" w:fill="B7B8BB"/>
            <w:vAlign w:val="center"/>
          </w:tcPr>
          <w:p w14:paraId="6E1249E5">
            <w:pPr>
              <w:jc w:val="center"/>
              <w:rPr>
                <w:rFonts w:hint="eastAsia" w:ascii="仿宋" w:hAnsi="仿宋" w:eastAsia="仿宋" w:cs="仿宋"/>
                <w:sz w:val="24"/>
                <w:szCs w:val="24"/>
              </w:rPr>
            </w:pPr>
            <w:r>
              <w:rPr>
                <w:rFonts w:hint="eastAsia" w:ascii="仿宋" w:hAnsi="仿宋" w:eastAsia="仿宋" w:cs="仿宋"/>
                <w:sz w:val="24"/>
                <w:szCs w:val="24"/>
              </w:rPr>
              <w:t>实施内容</w:t>
            </w:r>
          </w:p>
        </w:tc>
        <w:tc>
          <w:tcPr>
            <w:tcW w:w="876" w:type="pct"/>
            <w:shd w:val="clear" w:color="auto" w:fill="B7B8BB"/>
            <w:vAlign w:val="center"/>
          </w:tcPr>
          <w:p w14:paraId="44D9B338">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完成情况</w:t>
            </w:r>
          </w:p>
        </w:tc>
      </w:tr>
      <w:tr w14:paraId="29683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76" w:type="pct"/>
            <w:vAlign w:val="center"/>
          </w:tcPr>
          <w:p w14:paraId="581D735B">
            <w:pPr>
              <w:jc w:val="center"/>
              <w:rPr>
                <w:rFonts w:hint="eastAsia" w:ascii="仿宋" w:hAnsi="仿宋" w:eastAsia="仿宋" w:cs="仿宋"/>
                <w:sz w:val="24"/>
                <w:szCs w:val="24"/>
              </w:rPr>
            </w:pPr>
          </w:p>
          <w:p w14:paraId="6CA11E66">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24" w:type="pct"/>
            <w:vAlign w:val="center"/>
          </w:tcPr>
          <w:p w14:paraId="51A99DEC">
            <w:pPr>
              <w:jc w:val="center"/>
              <w:rPr>
                <w:rFonts w:hint="eastAsia" w:ascii="仿宋" w:hAnsi="仿宋" w:eastAsia="仿宋" w:cs="仿宋"/>
                <w:sz w:val="24"/>
                <w:szCs w:val="24"/>
              </w:rPr>
            </w:pPr>
            <w:r>
              <w:rPr>
                <w:rFonts w:hint="eastAsia" w:ascii="仿宋" w:hAnsi="仿宋" w:eastAsia="仿宋" w:cs="仿宋"/>
                <w:sz w:val="24"/>
                <w:szCs w:val="24"/>
              </w:rPr>
              <w:t>宣传拓展费</w:t>
            </w:r>
          </w:p>
        </w:tc>
        <w:tc>
          <w:tcPr>
            <w:tcW w:w="500" w:type="pct"/>
            <w:vAlign w:val="center"/>
          </w:tcPr>
          <w:p w14:paraId="3A0D379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11.1</w:t>
            </w:r>
          </w:p>
        </w:tc>
        <w:tc>
          <w:tcPr>
            <w:tcW w:w="2622" w:type="pct"/>
            <w:vAlign w:val="center"/>
          </w:tcPr>
          <w:p w14:paraId="47131B43">
            <w:pPr>
              <w:rPr>
                <w:rFonts w:hint="eastAsia" w:ascii="仿宋" w:hAnsi="仿宋" w:eastAsia="仿宋" w:cs="仿宋"/>
                <w:sz w:val="24"/>
                <w:szCs w:val="24"/>
                <w:lang w:eastAsia="zh-CN"/>
              </w:rPr>
            </w:pPr>
            <w:r>
              <w:rPr>
                <w:rFonts w:hint="eastAsia" w:ascii="仿宋" w:hAnsi="仿宋" w:eastAsia="仿宋" w:cs="仿宋"/>
                <w:sz w:val="24"/>
                <w:szCs w:val="24"/>
                <w:lang w:eastAsia="zh-CN"/>
              </w:rPr>
              <w:t>通过仲裁法律制度的宣传，使更多市场主体了解仲裁制度的优越性，吸引更多市场主体在签订合同时选择通过仲裁方式解决民商事经济纠纷。</w:t>
            </w:r>
          </w:p>
        </w:tc>
        <w:tc>
          <w:tcPr>
            <w:tcW w:w="876" w:type="pct"/>
            <w:vAlign w:val="center"/>
          </w:tcPr>
          <w:p w14:paraId="22172033">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已完成</w:t>
            </w:r>
          </w:p>
        </w:tc>
      </w:tr>
      <w:tr w14:paraId="4CF5B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76" w:type="pct"/>
            <w:vAlign w:val="center"/>
          </w:tcPr>
          <w:p w14:paraId="058124B8">
            <w:pPr>
              <w:jc w:val="center"/>
              <w:rPr>
                <w:rFonts w:hint="eastAsia" w:ascii="仿宋" w:hAnsi="仿宋" w:eastAsia="仿宋" w:cs="仿宋"/>
                <w:sz w:val="24"/>
                <w:szCs w:val="24"/>
              </w:rPr>
            </w:pPr>
          </w:p>
          <w:p w14:paraId="1BA540A7">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w:t>
            </w:r>
          </w:p>
        </w:tc>
        <w:tc>
          <w:tcPr>
            <w:tcW w:w="724" w:type="pct"/>
            <w:vAlign w:val="center"/>
          </w:tcPr>
          <w:p w14:paraId="6E2FD4D9">
            <w:pPr>
              <w:jc w:val="center"/>
              <w:rPr>
                <w:rFonts w:hint="eastAsia" w:ascii="仿宋" w:hAnsi="仿宋" w:eastAsia="仿宋" w:cs="仿宋"/>
                <w:sz w:val="24"/>
                <w:szCs w:val="24"/>
              </w:rPr>
            </w:pPr>
            <w:r>
              <w:rPr>
                <w:rFonts w:hint="eastAsia" w:ascii="仿宋" w:hAnsi="仿宋" w:eastAsia="仿宋" w:cs="仿宋"/>
                <w:sz w:val="24"/>
                <w:szCs w:val="24"/>
              </w:rPr>
              <w:t>仲裁员报酬</w:t>
            </w:r>
          </w:p>
        </w:tc>
        <w:tc>
          <w:tcPr>
            <w:tcW w:w="500" w:type="pct"/>
            <w:vAlign w:val="center"/>
          </w:tcPr>
          <w:p w14:paraId="3AD76B5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487</w:t>
            </w:r>
          </w:p>
        </w:tc>
        <w:tc>
          <w:tcPr>
            <w:tcW w:w="2622" w:type="pct"/>
            <w:vAlign w:val="center"/>
          </w:tcPr>
          <w:p w14:paraId="02D9DC82">
            <w:pPr>
              <w:rPr>
                <w:rFonts w:hint="eastAsia" w:ascii="仿宋" w:hAnsi="仿宋" w:eastAsia="仿宋" w:cs="仿宋"/>
                <w:sz w:val="24"/>
                <w:szCs w:val="24"/>
                <w:lang w:eastAsia="zh-CN"/>
              </w:rPr>
            </w:pPr>
            <w:r>
              <w:rPr>
                <w:rFonts w:hint="eastAsia" w:ascii="仿宋" w:hAnsi="仿宋" w:eastAsia="仿宋" w:cs="仿宋"/>
                <w:sz w:val="24"/>
                <w:szCs w:val="24"/>
                <w:lang w:eastAsia="zh-CN"/>
              </w:rPr>
              <w:t>根据南京仲裁委员会五届三次委员会会议审议通过的《南京仲裁委员会仲裁员办案报酬管理办法》,管理并支付仲裁员办理仲裁案件后的报酬。</w:t>
            </w:r>
          </w:p>
        </w:tc>
        <w:tc>
          <w:tcPr>
            <w:tcW w:w="876" w:type="pct"/>
            <w:vAlign w:val="center"/>
          </w:tcPr>
          <w:p w14:paraId="392DC0D6">
            <w:pPr>
              <w:jc w:val="center"/>
              <w:rPr>
                <w:rFonts w:hint="eastAsia" w:ascii="仿宋" w:hAnsi="仿宋" w:eastAsia="仿宋" w:cs="仿宋"/>
                <w:sz w:val="24"/>
                <w:szCs w:val="24"/>
              </w:rPr>
            </w:pPr>
            <w:r>
              <w:rPr>
                <w:rFonts w:hint="eastAsia" w:ascii="仿宋" w:hAnsi="仿宋" w:eastAsia="仿宋" w:cs="仿宋"/>
                <w:sz w:val="24"/>
                <w:szCs w:val="24"/>
                <w:lang w:eastAsia="zh-CN"/>
              </w:rPr>
              <w:t>已完成</w:t>
            </w:r>
          </w:p>
        </w:tc>
      </w:tr>
      <w:tr w14:paraId="59339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6" w:type="pct"/>
            <w:vAlign w:val="center"/>
          </w:tcPr>
          <w:p w14:paraId="7C99ACD4">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c>
          <w:tcPr>
            <w:tcW w:w="724" w:type="pct"/>
            <w:vAlign w:val="center"/>
          </w:tcPr>
          <w:p w14:paraId="607FA782">
            <w:pPr>
              <w:jc w:val="center"/>
              <w:rPr>
                <w:rFonts w:hint="eastAsia" w:ascii="仿宋" w:hAnsi="仿宋" w:eastAsia="仿宋" w:cs="仿宋"/>
                <w:sz w:val="24"/>
                <w:szCs w:val="24"/>
              </w:rPr>
            </w:pPr>
            <w:r>
              <w:rPr>
                <w:rFonts w:hint="eastAsia" w:ascii="仿宋" w:hAnsi="仿宋" w:eastAsia="仿宋" w:cs="仿宋"/>
                <w:sz w:val="24"/>
                <w:szCs w:val="24"/>
              </w:rPr>
              <w:t>仲裁员培训</w:t>
            </w:r>
          </w:p>
        </w:tc>
        <w:tc>
          <w:tcPr>
            <w:tcW w:w="500" w:type="pct"/>
            <w:vAlign w:val="center"/>
          </w:tcPr>
          <w:p w14:paraId="5484473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8.73</w:t>
            </w:r>
          </w:p>
        </w:tc>
        <w:tc>
          <w:tcPr>
            <w:tcW w:w="2622" w:type="pct"/>
            <w:vAlign w:val="center"/>
          </w:tcPr>
          <w:p w14:paraId="11F72170">
            <w:pPr>
              <w:rPr>
                <w:rFonts w:hint="eastAsia" w:ascii="仿宋" w:hAnsi="仿宋" w:eastAsia="仿宋" w:cs="仿宋"/>
                <w:sz w:val="24"/>
                <w:szCs w:val="24"/>
                <w:lang w:eastAsia="zh-CN"/>
              </w:rPr>
            </w:pPr>
            <w:r>
              <w:rPr>
                <w:rFonts w:hint="eastAsia" w:ascii="仿宋" w:hAnsi="仿宋" w:eastAsia="仿宋" w:cs="仿宋"/>
                <w:sz w:val="24"/>
                <w:szCs w:val="24"/>
                <w:lang w:eastAsia="zh-CN"/>
              </w:rPr>
              <w:t>针对每年法律新变化、仲裁疑难问题等开展专题培训，全面提升仲裁员履职能力；开展新聘仲裁员的基础能力培训等。</w:t>
            </w:r>
          </w:p>
        </w:tc>
        <w:tc>
          <w:tcPr>
            <w:tcW w:w="876" w:type="pct"/>
            <w:vAlign w:val="center"/>
          </w:tcPr>
          <w:p w14:paraId="154466B0">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已完成</w:t>
            </w:r>
          </w:p>
        </w:tc>
      </w:tr>
      <w:tr w14:paraId="5D1AE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6" w:type="pct"/>
            <w:vAlign w:val="center"/>
          </w:tcPr>
          <w:p w14:paraId="7CB10EE0">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w:t>
            </w:r>
          </w:p>
        </w:tc>
        <w:tc>
          <w:tcPr>
            <w:tcW w:w="724" w:type="pct"/>
            <w:vAlign w:val="center"/>
          </w:tcPr>
          <w:p w14:paraId="3D961CAB">
            <w:pPr>
              <w:jc w:val="center"/>
              <w:rPr>
                <w:rFonts w:hint="eastAsia" w:ascii="仿宋" w:hAnsi="仿宋" w:eastAsia="仿宋" w:cs="仿宋"/>
                <w:sz w:val="24"/>
                <w:szCs w:val="24"/>
              </w:rPr>
            </w:pPr>
            <w:r>
              <w:rPr>
                <w:rFonts w:hint="eastAsia" w:ascii="仿宋" w:hAnsi="仿宋" w:eastAsia="仿宋" w:cs="仿宋"/>
                <w:sz w:val="24"/>
                <w:szCs w:val="24"/>
              </w:rPr>
              <w:t>仲裁庭办公经费</w:t>
            </w:r>
          </w:p>
        </w:tc>
        <w:tc>
          <w:tcPr>
            <w:tcW w:w="500" w:type="pct"/>
            <w:vAlign w:val="center"/>
          </w:tcPr>
          <w:p w14:paraId="45F6C0C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157.62</w:t>
            </w:r>
          </w:p>
        </w:tc>
        <w:tc>
          <w:tcPr>
            <w:tcW w:w="2622" w:type="pct"/>
            <w:vAlign w:val="center"/>
          </w:tcPr>
          <w:p w14:paraId="7AA30753">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保障仲裁案件处理过程中的办公费、仲裁员办案差旅费、咨询、鉴定、勘验、翻译、复印、送达案件材料、文书等支出。</w:t>
            </w:r>
          </w:p>
        </w:tc>
        <w:tc>
          <w:tcPr>
            <w:tcW w:w="876" w:type="pct"/>
            <w:vAlign w:val="center"/>
          </w:tcPr>
          <w:p w14:paraId="54635A0B">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已完成</w:t>
            </w:r>
          </w:p>
        </w:tc>
      </w:tr>
      <w:tr w14:paraId="04FDB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6" w:type="pct"/>
            <w:vAlign w:val="center"/>
          </w:tcPr>
          <w:p w14:paraId="11CB779B">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5</w:t>
            </w:r>
          </w:p>
        </w:tc>
        <w:tc>
          <w:tcPr>
            <w:tcW w:w="724" w:type="pct"/>
            <w:vAlign w:val="center"/>
          </w:tcPr>
          <w:p w14:paraId="3A8AA5C6">
            <w:pPr>
              <w:jc w:val="center"/>
              <w:rPr>
                <w:rFonts w:hint="eastAsia" w:ascii="仿宋" w:hAnsi="仿宋" w:eastAsia="仿宋" w:cs="仿宋"/>
                <w:sz w:val="24"/>
                <w:szCs w:val="24"/>
              </w:rPr>
            </w:pPr>
            <w:r>
              <w:rPr>
                <w:rFonts w:hint="eastAsia" w:ascii="仿宋" w:hAnsi="仿宋" w:eastAsia="仿宋" w:cs="仿宋"/>
                <w:sz w:val="24"/>
                <w:szCs w:val="24"/>
                <w:lang w:eastAsia="zh-CN"/>
              </w:rPr>
              <w:t>政务信息化专项资金</w:t>
            </w:r>
          </w:p>
        </w:tc>
        <w:tc>
          <w:tcPr>
            <w:tcW w:w="500" w:type="pct"/>
            <w:vAlign w:val="center"/>
          </w:tcPr>
          <w:p w14:paraId="16004FA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29.64</w:t>
            </w:r>
          </w:p>
        </w:tc>
        <w:tc>
          <w:tcPr>
            <w:tcW w:w="2622" w:type="pct"/>
            <w:vAlign w:val="center"/>
          </w:tcPr>
          <w:p w14:paraId="59DCF047">
            <w:pPr>
              <w:rPr>
                <w:rFonts w:hint="eastAsia" w:ascii="仿宋" w:hAnsi="仿宋" w:eastAsia="仿宋" w:cs="仿宋"/>
                <w:sz w:val="24"/>
                <w:szCs w:val="24"/>
                <w:lang w:eastAsia="zh-CN"/>
              </w:rPr>
            </w:pPr>
            <w:r>
              <w:rPr>
                <w:rFonts w:hint="eastAsia" w:ascii="仿宋" w:hAnsi="仿宋" w:eastAsia="仿宋" w:cs="仿宋"/>
                <w:sz w:val="24"/>
                <w:szCs w:val="24"/>
                <w:lang w:eastAsia="zh-CN"/>
              </w:rPr>
              <w:t>智慧仲裁项目尾款。</w:t>
            </w:r>
          </w:p>
        </w:tc>
        <w:tc>
          <w:tcPr>
            <w:tcW w:w="876" w:type="pct"/>
            <w:vAlign w:val="center"/>
          </w:tcPr>
          <w:p w14:paraId="474258BE">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已完成</w:t>
            </w:r>
          </w:p>
        </w:tc>
      </w:tr>
      <w:tr w14:paraId="2C854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6" w:type="pct"/>
            <w:vAlign w:val="center"/>
          </w:tcPr>
          <w:p w14:paraId="786E782D">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c>
          <w:tcPr>
            <w:tcW w:w="724" w:type="pct"/>
            <w:vAlign w:val="center"/>
          </w:tcPr>
          <w:p w14:paraId="7E955030">
            <w:pPr>
              <w:jc w:val="center"/>
              <w:rPr>
                <w:rFonts w:hint="eastAsia" w:ascii="仿宋" w:hAnsi="仿宋" w:eastAsia="仿宋" w:cs="仿宋"/>
                <w:sz w:val="24"/>
                <w:szCs w:val="24"/>
              </w:rPr>
            </w:pPr>
            <w:r>
              <w:rPr>
                <w:rFonts w:hint="eastAsia" w:ascii="仿宋" w:hAnsi="仿宋" w:eastAsia="仿宋" w:cs="仿宋"/>
                <w:sz w:val="24"/>
                <w:szCs w:val="24"/>
              </w:rPr>
              <w:t>信创工程</w:t>
            </w:r>
          </w:p>
        </w:tc>
        <w:tc>
          <w:tcPr>
            <w:tcW w:w="500" w:type="pct"/>
            <w:vAlign w:val="center"/>
          </w:tcPr>
          <w:p w14:paraId="17C2E917">
            <w:pPr>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0.</w:t>
            </w:r>
            <w:r>
              <w:rPr>
                <w:rFonts w:hint="eastAsia" w:ascii="仿宋" w:hAnsi="仿宋" w:eastAsia="仿宋" w:cs="仿宋"/>
                <w:sz w:val="24"/>
                <w:szCs w:val="24"/>
                <w:lang w:val="en-US" w:eastAsia="zh-CN"/>
              </w:rPr>
              <w:t>25</w:t>
            </w:r>
          </w:p>
        </w:tc>
        <w:tc>
          <w:tcPr>
            <w:tcW w:w="2622" w:type="pct"/>
            <w:vAlign w:val="center"/>
          </w:tcPr>
          <w:p w14:paraId="1449038D">
            <w:pPr>
              <w:rPr>
                <w:rFonts w:hint="eastAsia" w:ascii="仿宋" w:hAnsi="仿宋" w:eastAsia="仿宋" w:cs="仿宋"/>
                <w:sz w:val="24"/>
                <w:szCs w:val="24"/>
                <w:lang w:eastAsia="zh-CN"/>
              </w:rPr>
            </w:pPr>
            <w:r>
              <w:rPr>
                <w:rFonts w:hint="eastAsia" w:ascii="仿宋" w:hAnsi="仿宋" w:eastAsia="仿宋" w:cs="仿宋"/>
                <w:sz w:val="24"/>
                <w:szCs w:val="24"/>
                <w:lang w:eastAsia="zh-CN"/>
              </w:rPr>
              <w:t>支付国产化替代设备采购进度款。</w:t>
            </w:r>
          </w:p>
        </w:tc>
        <w:tc>
          <w:tcPr>
            <w:tcW w:w="876" w:type="pct"/>
            <w:vAlign w:val="center"/>
          </w:tcPr>
          <w:p w14:paraId="5E98C2E6">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已完成</w:t>
            </w:r>
          </w:p>
        </w:tc>
      </w:tr>
    </w:tbl>
    <w:p w14:paraId="3F3E0852">
      <w:pPr>
        <w:pStyle w:val="2"/>
        <w:widowControl w:val="0"/>
        <w:autoSpaceDE/>
        <w:autoSpaceDN/>
        <w:spacing w:line="560" w:lineRule="exact"/>
        <w:ind w:firstLine="631" w:firstLineChars="200"/>
        <w:textAlignment w:val="auto"/>
        <w:outlineLvl w:val="2"/>
        <w:rPr>
          <w:b/>
          <w:bCs/>
          <w:spacing w:val="-3"/>
          <w:sz w:val="32"/>
          <w:szCs w:val="32"/>
          <w:highlight w:val="none"/>
          <w:lang w:eastAsia="zh-CN"/>
        </w:rPr>
      </w:pPr>
      <w:r>
        <w:rPr>
          <w:rFonts w:hint="eastAsia"/>
          <w:b/>
          <w:bCs/>
          <w:spacing w:val="-3"/>
          <w:sz w:val="32"/>
          <w:szCs w:val="32"/>
          <w:lang w:eastAsia="zh-CN"/>
        </w:rPr>
        <w:t>3、</w:t>
      </w:r>
      <w:r>
        <w:rPr>
          <w:rFonts w:hint="eastAsia"/>
          <w:b/>
          <w:bCs/>
          <w:spacing w:val="-3"/>
          <w:sz w:val="32"/>
          <w:szCs w:val="32"/>
          <w:highlight w:val="none"/>
          <w:lang w:eastAsia="zh-CN"/>
        </w:rPr>
        <w:t>业务收费(仲裁费)完成情况</w:t>
      </w:r>
    </w:p>
    <w:p w14:paraId="52039250">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highlight w:val="none"/>
          <w:lang w:eastAsia="zh-CN"/>
        </w:rPr>
      </w:pPr>
      <w:r>
        <w:rPr>
          <w:rFonts w:ascii="仿宋_GB2312" w:hAnsi="仿宋_GB2312" w:eastAsia="仿宋_GB2312" w:cs="仿宋_GB2312"/>
          <w:snapToGrid/>
          <w:kern w:val="2"/>
          <w:sz w:val="32"/>
          <w:szCs w:val="32"/>
          <w:highlight w:val="none"/>
          <w:lang w:eastAsia="zh-CN"/>
        </w:rPr>
        <w:t>202</w:t>
      </w:r>
      <w:r>
        <w:rPr>
          <w:rFonts w:hint="eastAsia" w:ascii="仿宋_GB2312" w:hAnsi="仿宋_GB2312" w:eastAsia="仿宋_GB2312" w:cs="仿宋_GB2312"/>
          <w:snapToGrid/>
          <w:kern w:val="2"/>
          <w:sz w:val="32"/>
          <w:szCs w:val="32"/>
          <w:highlight w:val="none"/>
          <w:lang w:val="en-US" w:eastAsia="zh-CN"/>
        </w:rPr>
        <w:t>4</w:t>
      </w:r>
      <w:r>
        <w:rPr>
          <w:rFonts w:ascii="仿宋_GB2312" w:hAnsi="仿宋_GB2312" w:eastAsia="仿宋_GB2312" w:cs="仿宋_GB2312"/>
          <w:snapToGrid/>
          <w:kern w:val="2"/>
          <w:sz w:val="32"/>
          <w:szCs w:val="32"/>
          <w:highlight w:val="none"/>
          <w:lang w:eastAsia="zh-CN"/>
        </w:rPr>
        <w:t>年，</w:t>
      </w:r>
      <w:r>
        <w:rPr>
          <w:rFonts w:hint="eastAsia" w:ascii="仿宋_GB2312" w:hAnsi="仿宋_GB2312" w:eastAsia="仿宋_GB2312" w:cs="仿宋_GB2312"/>
          <w:snapToGrid/>
          <w:kern w:val="2"/>
          <w:sz w:val="32"/>
          <w:szCs w:val="32"/>
          <w:highlight w:val="none"/>
          <w:lang w:eastAsia="zh-CN"/>
        </w:rPr>
        <w:t>我办</w:t>
      </w:r>
      <w:r>
        <w:rPr>
          <w:rFonts w:ascii="仿宋_GB2312" w:hAnsi="仿宋_GB2312" w:eastAsia="仿宋_GB2312" w:cs="仿宋_GB2312"/>
          <w:snapToGrid/>
          <w:kern w:val="2"/>
          <w:sz w:val="32"/>
          <w:szCs w:val="32"/>
          <w:highlight w:val="none"/>
          <w:lang w:eastAsia="zh-CN"/>
        </w:rPr>
        <w:t>业务收</w:t>
      </w:r>
      <w:r>
        <w:rPr>
          <w:rFonts w:hint="eastAsia" w:ascii="仿宋_GB2312" w:hAnsi="仿宋_GB2312" w:eastAsia="仿宋_GB2312" w:cs="仿宋_GB2312"/>
          <w:snapToGrid/>
          <w:kern w:val="2"/>
          <w:sz w:val="32"/>
          <w:szCs w:val="32"/>
          <w:highlight w:val="none"/>
          <w:lang w:eastAsia="zh-CN"/>
        </w:rPr>
        <w:t>费</w:t>
      </w:r>
      <w:r>
        <w:rPr>
          <w:rFonts w:ascii="仿宋_GB2312" w:hAnsi="仿宋_GB2312" w:eastAsia="仿宋_GB2312" w:cs="仿宋_GB2312"/>
          <w:snapToGrid/>
          <w:kern w:val="2"/>
          <w:sz w:val="32"/>
          <w:szCs w:val="32"/>
          <w:highlight w:val="none"/>
          <w:lang w:eastAsia="zh-CN"/>
        </w:rPr>
        <w:t>(指</w:t>
      </w:r>
      <w:r>
        <w:rPr>
          <w:rFonts w:hint="eastAsia" w:ascii="仿宋_GB2312" w:hAnsi="仿宋_GB2312" w:eastAsia="仿宋_GB2312" w:cs="仿宋_GB2312"/>
          <w:snapToGrid/>
          <w:kern w:val="2"/>
          <w:sz w:val="32"/>
          <w:szCs w:val="32"/>
          <w:highlight w:val="none"/>
          <w:lang w:eastAsia="zh-CN"/>
        </w:rPr>
        <w:t>我办</w:t>
      </w:r>
      <w:r>
        <w:rPr>
          <w:rFonts w:ascii="仿宋_GB2312" w:hAnsi="仿宋_GB2312" w:eastAsia="仿宋_GB2312" w:cs="仿宋_GB2312"/>
          <w:snapToGrid/>
          <w:kern w:val="2"/>
          <w:sz w:val="32"/>
          <w:szCs w:val="32"/>
          <w:highlight w:val="none"/>
          <w:lang w:eastAsia="zh-CN"/>
        </w:rPr>
        <w:t>向仲裁当事人收取的</w:t>
      </w:r>
      <w:r>
        <w:rPr>
          <w:rFonts w:hint="eastAsia" w:ascii="仿宋_GB2312" w:hAnsi="仿宋_GB2312" w:eastAsia="仿宋_GB2312" w:cs="仿宋_GB2312"/>
          <w:snapToGrid/>
          <w:kern w:val="2"/>
          <w:sz w:val="32"/>
          <w:szCs w:val="32"/>
          <w:highlight w:val="none"/>
          <w:lang w:eastAsia="zh-CN"/>
        </w:rPr>
        <w:t>仲裁案件受理费和处理费</w:t>
      </w:r>
      <w:r>
        <w:rPr>
          <w:rFonts w:ascii="仿宋_GB2312" w:hAnsi="仿宋_GB2312" w:eastAsia="仿宋_GB2312" w:cs="仿宋_GB2312"/>
          <w:snapToGrid/>
          <w:kern w:val="2"/>
          <w:sz w:val="32"/>
          <w:szCs w:val="32"/>
          <w:highlight w:val="none"/>
          <w:lang w:eastAsia="zh-CN"/>
        </w:rPr>
        <w:t>，属于非税收入),非税收入完成率</w:t>
      </w:r>
      <w:r>
        <w:rPr>
          <w:rFonts w:hint="eastAsia" w:ascii="仿宋_GB2312" w:hAnsi="仿宋_GB2312" w:eastAsia="仿宋_GB2312" w:cs="仿宋_GB2312"/>
          <w:snapToGrid/>
          <w:kern w:val="2"/>
          <w:sz w:val="32"/>
          <w:szCs w:val="32"/>
          <w:highlight w:val="none"/>
          <w:lang w:eastAsia="zh-CN"/>
        </w:rPr>
        <w:t>1</w:t>
      </w:r>
      <w:r>
        <w:rPr>
          <w:rFonts w:hint="eastAsia" w:ascii="仿宋_GB2312" w:hAnsi="仿宋_GB2312" w:eastAsia="仿宋_GB2312" w:cs="仿宋_GB2312"/>
          <w:snapToGrid/>
          <w:kern w:val="2"/>
          <w:sz w:val="32"/>
          <w:szCs w:val="32"/>
          <w:highlight w:val="none"/>
          <w:lang w:val="en-US" w:eastAsia="zh-CN"/>
        </w:rPr>
        <w:t>18.68</w:t>
      </w:r>
      <w:r>
        <w:rPr>
          <w:rFonts w:ascii="仿宋_GB2312" w:hAnsi="仿宋_GB2312" w:eastAsia="仿宋_GB2312" w:cs="仿宋_GB2312"/>
          <w:snapToGrid/>
          <w:kern w:val="2"/>
          <w:sz w:val="32"/>
          <w:szCs w:val="32"/>
          <w:highlight w:val="none"/>
          <w:lang w:eastAsia="zh-CN"/>
        </w:rPr>
        <w:t>%。</w:t>
      </w:r>
    </w:p>
    <w:p w14:paraId="69ED5C0D">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4、预算执行和项目管理情况</w:t>
      </w:r>
    </w:p>
    <w:p w14:paraId="29CC37C2">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ascii="仿宋_GB2312" w:hAnsi="仿宋_GB2312" w:eastAsia="仿宋_GB2312" w:cs="仿宋_GB2312"/>
          <w:snapToGrid/>
          <w:kern w:val="2"/>
          <w:sz w:val="32"/>
          <w:szCs w:val="32"/>
          <w:lang w:eastAsia="zh-CN"/>
        </w:rPr>
        <w:t>为保障部门运转和项目顺利实施，</w:t>
      </w:r>
      <w:r>
        <w:rPr>
          <w:rFonts w:hint="eastAsia" w:ascii="仿宋_GB2312" w:hAnsi="仿宋_GB2312" w:eastAsia="仿宋_GB2312" w:cs="仿宋_GB2312"/>
          <w:snapToGrid/>
          <w:kern w:val="2"/>
          <w:sz w:val="32"/>
          <w:szCs w:val="32"/>
          <w:lang w:eastAsia="zh-CN"/>
        </w:rPr>
        <w:t>我办</w:t>
      </w:r>
      <w:r>
        <w:rPr>
          <w:rFonts w:ascii="仿宋_GB2312" w:hAnsi="仿宋_GB2312" w:eastAsia="仿宋_GB2312" w:cs="仿宋_GB2312"/>
          <w:snapToGrid/>
          <w:kern w:val="2"/>
          <w:sz w:val="32"/>
          <w:szCs w:val="32"/>
          <w:lang w:eastAsia="zh-CN"/>
        </w:rPr>
        <w:t>制定了《南京仲裁办预算绩效管理办法(试行)》</w:t>
      </w:r>
      <w:r>
        <w:rPr>
          <w:rFonts w:hint="eastAsia" w:ascii="仿宋_GB2312" w:hAnsi="仿宋_GB2312" w:eastAsia="仿宋_GB2312" w:cs="仿宋_GB2312"/>
          <w:snapToGrid/>
          <w:kern w:val="2"/>
          <w:sz w:val="32"/>
          <w:szCs w:val="32"/>
          <w:lang w:eastAsia="zh-CN"/>
        </w:rPr>
        <w:t>、</w:t>
      </w:r>
      <w:r>
        <w:rPr>
          <w:rFonts w:ascii="仿宋_GB2312" w:hAnsi="仿宋_GB2312" w:eastAsia="仿宋_GB2312" w:cs="仿宋_GB2312"/>
          <w:snapToGrid/>
          <w:kern w:val="2"/>
          <w:sz w:val="32"/>
          <w:szCs w:val="32"/>
          <w:lang w:eastAsia="zh-CN"/>
        </w:rPr>
        <w:t>《财务管理规定》、《南京仲裁委仲裁员办案报酬管理办法》、《外地仲裁员来宁办案差旅费报销管理办法》等管理制度，主要涉及收支管理、现金及银行存款管理、财务监督管理、项目实施管理等，内控管理制度较为健全。</w:t>
      </w:r>
    </w:p>
    <w:p w14:paraId="1DDF7000">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我办</w:t>
      </w:r>
      <w:r>
        <w:rPr>
          <w:rFonts w:ascii="仿宋_GB2312" w:hAnsi="仿宋_GB2312" w:eastAsia="仿宋_GB2312" w:cs="仿宋_GB2312"/>
          <w:snapToGrid/>
          <w:kern w:val="2"/>
          <w:sz w:val="32"/>
          <w:szCs w:val="32"/>
          <w:lang w:eastAsia="zh-CN"/>
        </w:rPr>
        <w:t>会计凭证和其他相关基础资料较为完整、清晰，预算执行有效性较好，资金使用符合财务管理制度规定，不存在截留、挤占、挪用、虚列支出等情况，资金拨付有完整的审批程序和手续，公用经费不存在超标准支出情况，各个项目支出之间不存在重复交叉。</w:t>
      </w:r>
    </w:p>
    <w:p w14:paraId="3A74AED5">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5、“三公经费”情况</w:t>
      </w:r>
    </w:p>
    <w:p w14:paraId="46279A2E">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ascii="仿宋_GB2312" w:hAnsi="仿宋_GB2312" w:eastAsia="仿宋_GB2312" w:cs="仿宋_GB2312"/>
          <w:snapToGrid/>
          <w:kern w:val="2"/>
          <w:sz w:val="32"/>
          <w:szCs w:val="32"/>
          <w:lang w:eastAsia="zh-CN"/>
        </w:rPr>
        <w:t>202</w:t>
      </w:r>
      <w:r>
        <w:rPr>
          <w:rFonts w:hint="eastAsia" w:ascii="仿宋_GB2312" w:hAnsi="仿宋_GB2312" w:eastAsia="仿宋_GB2312" w:cs="仿宋_GB2312"/>
          <w:snapToGrid/>
          <w:kern w:val="2"/>
          <w:sz w:val="32"/>
          <w:szCs w:val="32"/>
          <w:lang w:val="en-US" w:eastAsia="zh-CN"/>
        </w:rPr>
        <w:t>4</w:t>
      </w:r>
      <w:r>
        <w:rPr>
          <w:rFonts w:ascii="仿宋_GB2312" w:hAnsi="仿宋_GB2312" w:eastAsia="仿宋_GB2312" w:cs="仿宋_GB2312"/>
          <w:snapToGrid/>
          <w:kern w:val="2"/>
          <w:sz w:val="32"/>
          <w:szCs w:val="32"/>
          <w:lang w:eastAsia="zh-CN"/>
        </w:rPr>
        <w:t>年，</w:t>
      </w:r>
      <w:r>
        <w:rPr>
          <w:rFonts w:hint="eastAsia" w:ascii="仿宋_GB2312" w:hAnsi="仿宋_GB2312" w:eastAsia="仿宋_GB2312" w:cs="仿宋_GB2312"/>
          <w:snapToGrid/>
          <w:kern w:val="2"/>
          <w:sz w:val="32"/>
          <w:szCs w:val="32"/>
          <w:lang w:eastAsia="zh-CN"/>
        </w:rPr>
        <w:t>我办</w:t>
      </w:r>
      <w:r>
        <w:rPr>
          <w:rFonts w:ascii="仿宋_GB2312" w:hAnsi="仿宋_GB2312" w:eastAsia="仿宋_GB2312" w:cs="仿宋_GB2312"/>
          <w:snapToGrid/>
          <w:kern w:val="2"/>
          <w:sz w:val="32"/>
          <w:szCs w:val="32"/>
          <w:lang w:eastAsia="zh-CN"/>
        </w:rPr>
        <w:t>“三公经费”</w:t>
      </w:r>
      <w:r>
        <w:rPr>
          <w:rFonts w:hint="eastAsia" w:ascii="仿宋_GB2312" w:hAnsi="仿宋_GB2312" w:eastAsia="仿宋_GB2312" w:cs="仿宋_GB2312"/>
          <w:snapToGrid/>
          <w:kern w:val="2"/>
          <w:sz w:val="32"/>
          <w:szCs w:val="32"/>
          <w:lang w:eastAsia="zh-CN"/>
        </w:rPr>
        <w:t>年初</w:t>
      </w:r>
      <w:r>
        <w:rPr>
          <w:rFonts w:ascii="仿宋_GB2312" w:hAnsi="仿宋_GB2312" w:eastAsia="仿宋_GB2312" w:cs="仿宋_GB2312"/>
          <w:snapToGrid/>
          <w:kern w:val="2"/>
          <w:sz w:val="32"/>
          <w:szCs w:val="32"/>
          <w:lang w:eastAsia="zh-CN"/>
        </w:rPr>
        <w:t>预算安排</w:t>
      </w:r>
      <w:r>
        <w:rPr>
          <w:rFonts w:hint="eastAsia" w:ascii="仿宋_GB2312" w:hAnsi="仿宋_GB2312" w:eastAsia="仿宋_GB2312" w:cs="仿宋_GB2312"/>
          <w:snapToGrid/>
          <w:kern w:val="2"/>
          <w:sz w:val="32"/>
          <w:szCs w:val="32"/>
          <w:lang w:eastAsia="zh-CN"/>
        </w:rPr>
        <w:t>6.13</w:t>
      </w:r>
      <w:r>
        <w:rPr>
          <w:rFonts w:ascii="仿宋_GB2312" w:hAnsi="仿宋_GB2312" w:eastAsia="仿宋_GB2312" w:cs="仿宋_GB2312"/>
          <w:snapToGrid/>
          <w:kern w:val="2"/>
          <w:sz w:val="32"/>
          <w:szCs w:val="32"/>
          <w:lang w:eastAsia="zh-CN"/>
        </w:rPr>
        <w:t>万元，其中：公务用车购置及运行费预算安排</w:t>
      </w:r>
      <w:r>
        <w:rPr>
          <w:rFonts w:hint="eastAsia" w:ascii="仿宋_GB2312" w:hAnsi="仿宋_GB2312" w:eastAsia="仿宋_GB2312" w:cs="仿宋_GB2312"/>
          <w:snapToGrid/>
          <w:kern w:val="2"/>
          <w:sz w:val="32"/>
          <w:szCs w:val="32"/>
          <w:lang w:eastAsia="zh-CN"/>
        </w:rPr>
        <w:t>4.93</w:t>
      </w:r>
      <w:r>
        <w:rPr>
          <w:rFonts w:ascii="仿宋_GB2312" w:hAnsi="仿宋_GB2312" w:eastAsia="仿宋_GB2312" w:cs="仿宋_GB2312"/>
          <w:snapToGrid/>
          <w:kern w:val="2"/>
          <w:sz w:val="32"/>
          <w:szCs w:val="32"/>
          <w:lang w:eastAsia="zh-CN"/>
        </w:rPr>
        <w:t>万元，公务接待费预算安排</w:t>
      </w:r>
      <w:r>
        <w:rPr>
          <w:rFonts w:hint="eastAsia" w:ascii="仿宋_GB2312" w:hAnsi="仿宋_GB2312" w:eastAsia="仿宋_GB2312" w:cs="仿宋_GB2312"/>
          <w:snapToGrid/>
          <w:kern w:val="2"/>
          <w:sz w:val="32"/>
          <w:szCs w:val="32"/>
          <w:lang w:eastAsia="zh-CN"/>
        </w:rPr>
        <w:t>1.2</w:t>
      </w:r>
      <w:r>
        <w:rPr>
          <w:rFonts w:ascii="仿宋_GB2312" w:hAnsi="仿宋_GB2312" w:eastAsia="仿宋_GB2312" w:cs="仿宋_GB2312"/>
          <w:snapToGrid/>
          <w:kern w:val="2"/>
          <w:sz w:val="32"/>
          <w:szCs w:val="32"/>
          <w:lang w:eastAsia="zh-CN"/>
        </w:rPr>
        <w:t>万元。“三公经费”当年实际执行</w:t>
      </w:r>
      <w:r>
        <w:rPr>
          <w:rFonts w:hint="eastAsia" w:ascii="仿宋_GB2312" w:hAnsi="仿宋_GB2312" w:eastAsia="仿宋_GB2312" w:cs="仿宋_GB2312"/>
          <w:snapToGrid/>
          <w:kern w:val="2"/>
          <w:sz w:val="32"/>
          <w:szCs w:val="32"/>
          <w:lang w:val="en-US" w:eastAsia="zh-CN"/>
        </w:rPr>
        <w:t>9.86</w:t>
      </w:r>
      <w:r>
        <w:rPr>
          <w:rFonts w:ascii="仿宋_GB2312" w:hAnsi="仿宋_GB2312" w:eastAsia="仿宋_GB2312" w:cs="仿宋_GB2312"/>
          <w:snapToGrid/>
          <w:kern w:val="2"/>
          <w:sz w:val="32"/>
          <w:szCs w:val="32"/>
          <w:lang w:eastAsia="zh-CN"/>
        </w:rPr>
        <w:t>万元，其中：公务用车购置及运行费实际执行</w:t>
      </w:r>
      <w:r>
        <w:rPr>
          <w:rFonts w:hint="eastAsia" w:ascii="仿宋_GB2312" w:hAnsi="仿宋_GB2312" w:eastAsia="仿宋_GB2312" w:cs="仿宋_GB2312"/>
          <w:snapToGrid/>
          <w:kern w:val="2"/>
          <w:sz w:val="32"/>
          <w:szCs w:val="32"/>
          <w:lang w:eastAsia="zh-CN"/>
        </w:rPr>
        <w:t>4.93</w:t>
      </w:r>
      <w:r>
        <w:rPr>
          <w:rFonts w:ascii="仿宋_GB2312" w:hAnsi="仿宋_GB2312" w:eastAsia="仿宋_GB2312" w:cs="仿宋_GB2312"/>
          <w:snapToGrid/>
          <w:kern w:val="2"/>
          <w:sz w:val="32"/>
          <w:szCs w:val="32"/>
          <w:lang w:eastAsia="zh-CN"/>
        </w:rPr>
        <w:t>万元，公务接待费</w:t>
      </w:r>
      <w:r>
        <w:rPr>
          <w:rFonts w:hint="eastAsia" w:ascii="仿宋_GB2312" w:hAnsi="仿宋_GB2312" w:eastAsia="仿宋_GB2312" w:cs="仿宋_GB2312"/>
          <w:snapToGrid/>
          <w:kern w:val="2"/>
          <w:sz w:val="32"/>
          <w:szCs w:val="32"/>
          <w:lang w:val="en-US" w:eastAsia="zh-CN"/>
        </w:rPr>
        <w:t>0.66</w:t>
      </w:r>
      <w:r>
        <w:rPr>
          <w:rFonts w:hint="eastAsia" w:ascii="仿宋_GB2312" w:hAnsi="仿宋_GB2312" w:eastAsia="仿宋_GB2312" w:cs="仿宋_GB2312"/>
          <w:snapToGrid/>
          <w:kern w:val="2"/>
          <w:sz w:val="32"/>
          <w:szCs w:val="32"/>
          <w:lang w:eastAsia="zh-CN"/>
        </w:rPr>
        <w:t>万元，因公出国（境）费用</w:t>
      </w:r>
      <w:r>
        <w:rPr>
          <w:rFonts w:hint="eastAsia" w:ascii="仿宋_GB2312" w:hAnsi="仿宋_GB2312" w:eastAsia="仿宋_GB2312" w:cs="仿宋_GB2312"/>
          <w:snapToGrid/>
          <w:kern w:val="2"/>
          <w:sz w:val="32"/>
          <w:szCs w:val="32"/>
          <w:lang w:val="en-US" w:eastAsia="zh-CN"/>
        </w:rPr>
        <w:t>4.27</w:t>
      </w:r>
      <w:r>
        <w:rPr>
          <w:rFonts w:ascii="仿宋_GB2312" w:hAnsi="仿宋_GB2312" w:eastAsia="仿宋_GB2312" w:cs="仿宋_GB2312"/>
          <w:snapToGrid/>
          <w:kern w:val="2"/>
          <w:sz w:val="32"/>
          <w:szCs w:val="32"/>
          <w:lang w:eastAsia="zh-CN"/>
        </w:rPr>
        <w:t>，符合“三公经费”管理的相关要求。</w:t>
      </w:r>
    </w:p>
    <w:p w14:paraId="6B03EA6F">
      <w:pPr>
        <w:kinsoku/>
        <w:spacing w:line="600" w:lineRule="exact"/>
        <w:ind w:firstLine="640" w:firstLineChars="200"/>
        <w:rPr>
          <w:rFonts w:ascii="仿宋_GB2312" w:hAnsi="仿宋_GB2312" w:eastAsia="仿宋_GB2312" w:cs="仿宋_GB2312"/>
          <w:sz w:val="32"/>
          <w:szCs w:val="32"/>
          <w:highlight w:val="yellow"/>
          <w:lang w:eastAsia="zh-CN"/>
        </w:rPr>
      </w:pPr>
      <w:r>
        <w:rPr>
          <w:rFonts w:hint="eastAsia" w:ascii="仿宋_GB2312" w:hAnsi="仿宋_GB2312" w:eastAsia="仿宋_GB2312" w:cs="仿宋_GB2312"/>
          <w:snapToGrid/>
          <w:kern w:val="2"/>
          <w:sz w:val="32"/>
          <w:szCs w:val="32"/>
          <w:lang w:eastAsia="zh-CN"/>
        </w:rPr>
        <w:t>会议费年初预算0.5万元，决算支出</w:t>
      </w:r>
      <w:r>
        <w:rPr>
          <w:rFonts w:hint="eastAsia" w:ascii="仿宋_GB2312" w:hAnsi="仿宋_GB2312" w:eastAsia="仿宋_GB2312" w:cs="仿宋_GB2312"/>
          <w:snapToGrid/>
          <w:kern w:val="2"/>
          <w:sz w:val="32"/>
          <w:szCs w:val="32"/>
          <w:lang w:val="en-US" w:eastAsia="zh-CN"/>
        </w:rPr>
        <w:t>0</w:t>
      </w:r>
      <w:r>
        <w:rPr>
          <w:rFonts w:hint="eastAsia" w:ascii="仿宋_GB2312" w:hAnsi="仿宋_GB2312" w:eastAsia="仿宋_GB2312" w:cs="仿宋_GB2312"/>
          <w:snapToGrid/>
          <w:kern w:val="2"/>
          <w:sz w:val="32"/>
          <w:szCs w:val="32"/>
          <w:lang w:eastAsia="zh-CN"/>
        </w:rPr>
        <w:t>万元</w:t>
      </w:r>
      <w:r>
        <w:rPr>
          <w:rFonts w:hint="eastAsia" w:ascii="仿宋_GB2312" w:hAnsi="仿宋_GB2312" w:eastAsia="仿宋_GB2312" w:cs="仿宋_GB2312"/>
          <w:sz w:val="32"/>
          <w:szCs w:val="32"/>
          <w:lang w:eastAsia="zh-CN"/>
        </w:rPr>
        <w:t>。</w:t>
      </w:r>
    </w:p>
    <w:p w14:paraId="01D34D7E">
      <w:pPr>
        <w:widowControl w:val="0"/>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培训费年初预算9.7万元，决算支出</w:t>
      </w:r>
      <w:r>
        <w:rPr>
          <w:rFonts w:hint="eastAsia" w:ascii="仿宋_GB2312" w:hAnsi="仿宋_GB2312" w:eastAsia="仿宋_GB2312" w:cs="仿宋_GB2312"/>
          <w:snapToGrid/>
          <w:kern w:val="2"/>
          <w:sz w:val="32"/>
          <w:szCs w:val="32"/>
          <w:lang w:val="en-US" w:eastAsia="zh-CN"/>
        </w:rPr>
        <w:t>9.23</w:t>
      </w:r>
      <w:r>
        <w:rPr>
          <w:rFonts w:hint="eastAsia" w:ascii="仿宋_GB2312" w:hAnsi="仿宋_GB2312" w:eastAsia="仿宋_GB2312" w:cs="仿宋_GB2312"/>
          <w:snapToGrid/>
          <w:kern w:val="2"/>
          <w:sz w:val="32"/>
          <w:szCs w:val="32"/>
          <w:lang w:eastAsia="zh-CN"/>
        </w:rPr>
        <w:t>万元，</w:t>
      </w:r>
      <w:r>
        <w:rPr>
          <w:rFonts w:hint="eastAsia" w:ascii="仿宋_GB2312" w:hAnsi="仿宋_GB2312" w:eastAsia="仿宋_GB2312" w:cs="仿宋_GB2312"/>
          <w:sz w:val="32"/>
          <w:lang w:eastAsia="zh-CN" w:bidi="en-AU"/>
        </w:rPr>
        <w:t>202</w:t>
      </w:r>
      <w:r>
        <w:rPr>
          <w:rFonts w:hint="eastAsia" w:ascii="仿宋_GB2312" w:hAnsi="仿宋_GB2312" w:eastAsia="仿宋_GB2312" w:cs="仿宋_GB2312"/>
          <w:sz w:val="32"/>
          <w:lang w:val="en-US" w:eastAsia="zh-CN" w:bidi="en-AU"/>
        </w:rPr>
        <w:t>4</w:t>
      </w:r>
      <w:r>
        <w:rPr>
          <w:rFonts w:hint="eastAsia" w:ascii="仿宋_GB2312" w:hAnsi="仿宋_GB2312" w:eastAsia="仿宋_GB2312" w:cs="仿宋_GB2312"/>
          <w:sz w:val="32"/>
          <w:lang w:eastAsia="zh-CN" w:bidi="en-AU"/>
        </w:rPr>
        <w:t>年度全年组织培训1</w:t>
      </w:r>
      <w:r>
        <w:rPr>
          <w:rFonts w:hint="eastAsia" w:ascii="仿宋_GB2312" w:hAnsi="仿宋_GB2312" w:eastAsia="仿宋_GB2312" w:cs="仿宋_GB2312"/>
          <w:sz w:val="32"/>
          <w:lang w:val="en-US" w:eastAsia="zh-CN" w:bidi="en-AU"/>
        </w:rPr>
        <w:t>1</w:t>
      </w:r>
      <w:r>
        <w:rPr>
          <w:rFonts w:hint="eastAsia" w:ascii="仿宋_GB2312" w:hAnsi="仿宋_GB2312" w:eastAsia="仿宋_GB2312" w:cs="仿宋_GB2312"/>
          <w:sz w:val="32"/>
          <w:lang w:eastAsia="zh-CN" w:bidi="en-AU"/>
        </w:rPr>
        <w:t>场，组织培训</w:t>
      </w:r>
      <w:r>
        <w:rPr>
          <w:rFonts w:hint="eastAsia" w:ascii="仿宋_GB2312" w:hAnsi="仿宋_GB2312" w:eastAsia="仿宋_GB2312" w:cs="仿宋_GB2312"/>
          <w:sz w:val="32"/>
          <w:lang w:val="en-US" w:eastAsia="zh-CN" w:bidi="en-AU"/>
        </w:rPr>
        <w:t>525</w:t>
      </w:r>
      <w:r>
        <w:rPr>
          <w:rFonts w:hint="eastAsia" w:ascii="仿宋_GB2312" w:hAnsi="仿宋_GB2312" w:eastAsia="仿宋_GB2312" w:cs="仿宋_GB2312"/>
          <w:sz w:val="32"/>
          <w:lang w:eastAsia="zh-CN" w:bidi="en-AU"/>
        </w:rPr>
        <w:t>人次。</w:t>
      </w:r>
    </w:p>
    <w:p w14:paraId="58665CF2">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6、政府采购情况</w:t>
      </w:r>
    </w:p>
    <w:p w14:paraId="758ACC10">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我办为保障单位正常履职，全年政府采购资金</w:t>
      </w:r>
      <w:r>
        <w:rPr>
          <w:rFonts w:hint="eastAsia" w:ascii="仿宋_GB2312" w:hAnsi="仿宋_GB2312" w:eastAsia="仿宋_GB2312" w:cs="仿宋_GB2312"/>
          <w:kern w:val="2"/>
          <w:sz w:val="32"/>
          <w:szCs w:val="32"/>
          <w:lang w:val="en-US" w:eastAsia="zh-CN"/>
        </w:rPr>
        <w:t>21.26</w:t>
      </w:r>
      <w:r>
        <w:rPr>
          <w:rFonts w:hint="eastAsia" w:ascii="仿宋_GB2312" w:hAnsi="仿宋_GB2312" w:eastAsia="仿宋_GB2312" w:cs="仿宋_GB2312"/>
          <w:kern w:val="2"/>
          <w:sz w:val="32"/>
          <w:szCs w:val="32"/>
          <w:lang w:eastAsia="zh-CN"/>
        </w:rPr>
        <w:t>万元，其中</w:t>
      </w:r>
      <w:r>
        <w:rPr>
          <w:rFonts w:hint="eastAsia" w:ascii="仿宋_GB2312" w:hAnsi="仿宋_GB2312" w:eastAsia="仿宋_GB2312" w:cs="仿宋_GB2312"/>
          <w:kern w:val="2"/>
          <w:sz w:val="32"/>
          <w:szCs w:val="32"/>
          <w:lang w:val="en-US" w:eastAsia="zh-CN"/>
        </w:rPr>
        <w:t>1.49</w:t>
      </w:r>
      <w:r>
        <w:rPr>
          <w:rFonts w:hint="eastAsia" w:ascii="仿宋_GB2312" w:hAnsi="仿宋_GB2312" w:eastAsia="仿宋_GB2312" w:cs="仿宋_GB2312"/>
          <w:kern w:val="2"/>
          <w:sz w:val="32"/>
          <w:szCs w:val="32"/>
          <w:lang w:eastAsia="zh-CN"/>
        </w:rPr>
        <w:t>万元为框架协议采购办公用纸，</w:t>
      </w:r>
      <w:r>
        <w:rPr>
          <w:rFonts w:hint="eastAsia" w:ascii="仿宋_GB2312" w:hAnsi="仿宋_GB2312" w:eastAsia="仿宋_GB2312" w:cs="仿宋_GB2312"/>
          <w:kern w:val="2"/>
          <w:sz w:val="32"/>
          <w:szCs w:val="32"/>
          <w:lang w:val="en-US" w:eastAsia="zh-CN"/>
        </w:rPr>
        <w:t>12.48</w:t>
      </w:r>
      <w:r>
        <w:rPr>
          <w:rFonts w:hint="eastAsia" w:ascii="仿宋_GB2312" w:hAnsi="仿宋_GB2312" w:eastAsia="仿宋_GB2312" w:cs="仿宋_GB2312"/>
          <w:kern w:val="2"/>
          <w:sz w:val="32"/>
          <w:szCs w:val="32"/>
          <w:lang w:eastAsia="zh-CN"/>
        </w:rPr>
        <w:t>万元为仲裁业务信息管理平台运维服务费，</w:t>
      </w:r>
      <w:r>
        <w:rPr>
          <w:rFonts w:hint="eastAsia" w:ascii="仿宋_GB2312" w:hAnsi="仿宋_GB2312" w:eastAsia="仿宋_GB2312" w:cs="仿宋_GB2312"/>
          <w:kern w:val="2"/>
          <w:sz w:val="32"/>
          <w:szCs w:val="32"/>
          <w:lang w:val="en-US" w:eastAsia="zh-CN"/>
        </w:rPr>
        <w:t>3.9</w:t>
      </w:r>
      <w:r>
        <w:rPr>
          <w:rFonts w:hint="eastAsia" w:ascii="仿宋_GB2312" w:hAnsi="仿宋_GB2312" w:eastAsia="仿宋_GB2312" w:cs="仿宋_GB2312"/>
          <w:kern w:val="2"/>
          <w:sz w:val="32"/>
          <w:szCs w:val="32"/>
          <w:lang w:eastAsia="zh-CN"/>
        </w:rPr>
        <w:t>万元为信息系统等级保护测评费，</w:t>
      </w:r>
      <w:r>
        <w:rPr>
          <w:rFonts w:hint="eastAsia" w:ascii="仿宋_GB2312" w:hAnsi="仿宋_GB2312" w:eastAsia="仿宋_GB2312" w:cs="仿宋_GB2312"/>
          <w:kern w:val="2"/>
          <w:sz w:val="32"/>
          <w:szCs w:val="32"/>
          <w:lang w:val="en-US" w:eastAsia="zh-CN"/>
        </w:rPr>
        <w:t>3.39万元为网络仲裁服务费尾款</w:t>
      </w:r>
      <w:r>
        <w:rPr>
          <w:rFonts w:hint="eastAsia" w:ascii="仿宋_GB2312" w:hAnsi="仿宋_GB2312" w:eastAsia="仿宋_GB2312" w:cs="仿宋_GB2312"/>
          <w:kern w:val="2"/>
          <w:sz w:val="32"/>
          <w:szCs w:val="32"/>
          <w:lang w:eastAsia="zh-CN"/>
        </w:rPr>
        <w:t>。</w:t>
      </w:r>
    </w:p>
    <w:p w14:paraId="421B8A2B">
      <w:pPr>
        <w:widowControl w:val="0"/>
        <w:autoSpaceDE/>
        <w:autoSpaceDN/>
        <w:spacing w:line="560" w:lineRule="exact"/>
        <w:ind w:firstLine="651" w:firstLineChars="200"/>
        <w:textAlignment w:val="auto"/>
        <w:outlineLvl w:val="1"/>
        <w:rPr>
          <w:rFonts w:ascii="楷体" w:hAnsi="楷体" w:eastAsia="楷体" w:cs="楷体"/>
          <w:b/>
          <w:bCs/>
          <w:spacing w:val="2"/>
          <w:sz w:val="32"/>
          <w:szCs w:val="32"/>
          <w:lang w:eastAsia="zh-CN"/>
        </w:rPr>
      </w:pPr>
      <w:r>
        <w:rPr>
          <w:rFonts w:ascii="楷体" w:hAnsi="楷体" w:eastAsia="楷体" w:cs="楷体"/>
          <w:b/>
          <w:bCs/>
          <w:spacing w:val="2"/>
          <w:sz w:val="32"/>
          <w:szCs w:val="32"/>
          <w:lang w:eastAsia="zh-CN"/>
        </w:rPr>
        <w:t>（三）部门绩效目标</w:t>
      </w:r>
    </w:p>
    <w:p w14:paraId="3F7E1662">
      <w:pPr>
        <w:pStyle w:val="2"/>
        <w:widowControl w:val="0"/>
        <w:autoSpaceDE/>
        <w:autoSpaceDN/>
        <w:spacing w:line="560" w:lineRule="exact"/>
        <w:ind w:firstLine="631" w:firstLineChars="200"/>
        <w:textAlignment w:val="auto"/>
        <w:outlineLvl w:val="2"/>
        <w:rPr>
          <w:b/>
          <w:bCs/>
          <w:spacing w:val="-3"/>
          <w:sz w:val="32"/>
          <w:szCs w:val="32"/>
          <w:lang w:eastAsia="zh-CN"/>
        </w:rPr>
      </w:pPr>
      <w:r>
        <w:rPr>
          <w:rFonts w:hint="eastAsia"/>
          <w:b/>
          <w:bCs/>
          <w:spacing w:val="-3"/>
          <w:sz w:val="32"/>
          <w:szCs w:val="32"/>
          <w:lang w:eastAsia="zh-CN"/>
        </w:rPr>
        <w:t>1、中长期目标</w:t>
      </w:r>
    </w:p>
    <w:p w14:paraId="0E8243BB">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依照《省政府办公厅印发关于建设涉外法律服务高质量发展先导区实施方案的通知》、《法治南京建设规划</w:t>
      </w:r>
      <w:r>
        <w:rPr>
          <w:rFonts w:ascii="仿宋_GB2312" w:hAnsi="仿宋_GB2312" w:eastAsia="仿宋_GB2312" w:cs="仿宋_GB2312"/>
          <w:kern w:val="2"/>
          <w:sz w:val="32"/>
          <w:szCs w:val="32"/>
          <w:lang w:eastAsia="zh-CN"/>
        </w:rPr>
        <w:t>(2021-2025</w:t>
      </w:r>
      <w:r>
        <w:rPr>
          <w:rFonts w:hint="eastAsia" w:ascii="仿宋_GB2312" w:hAnsi="仿宋_GB2312" w:eastAsia="仿宋_GB2312" w:cs="仿宋_GB2312"/>
          <w:kern w:val="2"/>
          <w:sz w:val="32"/>
          <w:szCs w:val="32"/>
          <w:lang w:eastAsia="zh-CN"/>
        </w:rPr>
        <w:t>年</w:t>
      </w:r>
      <w:r>
        <w:rPr>
          <w:rFonts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eastAsia="zh-CN"/>
        </w:rPr>
        <w:t>》，以完善仲裁制度、提高仲裁公信力为核心，以打造在全国有较高影响力的国际化区域性仲裁中心为目标，大力推动南京仲裁规范化、专业化、国际化、信息化建设，切实提升南京仲裁首选率和满意度，努力打造省内领先、国内一流、国际知名的南京商事仲裁服务品牌。</w:t>
      </w:r>
    </w:p>
    <w:p w14:paraId="047CCC6B">
      <w:pPr>
        <w:pStyle w:val="2"/>
        <w:widowControl w:val="0"/>
        <w:autoSpaceDE/>
        <w:autoSpaceDN/>
        <w:spacing w:line="560" w:lineRule="exact"/>
        <w:ind w:firstLine="631" w:firstLineChars="200"/>
        <w:textAlignment w:val="auto"/>
        <w:outlineLvl w:val="2"/>
        <w:rPr>
          <w:rFonts w:hint="eastAsia"/>
          <w:b/>
          <w:bCs/>
          <w:spacing w:val="-3"/>
          <w:sz w:val="32"/>
          <w:szCs w:val="32"/>
          <w:lang w:eastAsia="zh-CN"/>
        </w:rPr>
      </w:pPr>
      <w:r>
        <w:rPr>
          <w:rFonts w:hint="eastAsia"/>
          <w:b/>
          <w:bCs/>
          <w:spacing w:val="-3"/>
          <w:sz w:val="32"/>
          <w:szCs w:val="32"/>
          <w:lang w:eastAsia="zh-CN"/>
        </w:rPr>
        <w:t>2、202</w:t>
      </w:r>
      <w:r>
        <w:rPr>
          <w:rFonts w:hint="default"/>
          <w:b/>
          <w:bCs/>
          <w:spacing w:val="-3"/>
          <w:sz w:val="32"/>
          <w:szCs w:val="32"/>
          <w:lang w:eastAsia="zh-CN"/>
        </w:rPr>
        <w:t>4</w:t>
      </w:r>
      <w:r>
        <w:rPr>
          <w:rFonts w:hint="eastAsia"/>
          <w:b/>
          <w:bCs/>
          <w:spacing w:val="-3"/>
          <w:sz w:val="32"/>
          <w:szCs w:val="32"/>
          <w:lang w:eastAsia="zh-CN"/>
        </w:rPr>
        <w:t>年度目标</w:t>
      </w:r>
    </w:p>
    <w:p w14:paraId="597A71DB">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根据《202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年南京仲裁办工作目标任务》，202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年</w:t>
      </w:r>
      <w:r>
        <w:rPr>
          <w:rFonts w:hint="eastAsia" w:ascii="仿宋_GB2312" w:hAnsi="仿宋_GB2312" w:eastAsia="仿宋_GB2312" w:cs="仿宋_GB2312"/>
          <w:kern w:val="2"/>
          <w:sz w:val="32"/>
          <w:szCs w:val="32"/>
          <w:lang w:val="en-US" w:eastAsia="zh-CN"/>
        </w:rPr>
        <w:t>南京仲裁办</w:t>
      </w:r>
      <w:r>
        <w:rPr>
          <w:rFonts w:hint="eastAsia" w:ascii="仿宋_GB2312" w:hAnsi="仿宋_GB2312" w:eastAsia="仿宋_GB2312" w:cs="仿宋_GB2312"/>
          <w:kern w:val="2"/>
          <w:sz w:val="32"/>
          <w:szCs w:val="32"/>
          <w:lang w:eastAsia="zh-CN"/>
        </w:rPr>
        <w:t>将以习近平新时代中国特色社会主义思想为指导，全面贯彻落实党的二十大</w:t>
      </w:r>
      <w:r>
        <w:rPr>
          <w:rFonts w:hint="eastAsia" w:ascii="仿宋_GB2312" w:hAnsi="仿宋_GB2312" w:eastAsia="仿宋_GB2312" w:cs="仿宋_GB2312"/>
          <w:kern w:val="2"/>
          <w:sz w:val="32"/>
          <w:szCs w:val="32"/>
          <w:lang w:val="en-US" w:eastAsia="zh-CN"/>
        </w:rPr>
        <w:t>和二十届二中全会精神</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深入贯彻习近平总书记对江苏工作重要讲话重要指示精神，</w:t>
      </w:r>
      <w:r>
        <w:rPr>
          <w:rFonts w:hint="eastAsia" w:ascii="仿宋_GB2312" w:hAnsi="仿宋_GB2312" w:eastAsia="仿宋_GB2312" w:cs="仿宋_GB2312"/>
          <w:kern w:val="2"/>
          <w:sz w:val="32"/>
          <w:szCs w:val="32"/>
          <w:lang w:eastAsia="zh-CN"/>
        </w:rPr>
        <w:t>围绕</w:t>
      </w:r>
      <w:r>
        <w:rPr>
          <w:rFonts w:hint="eastAsia" w:ascii="仿宋_GB2312" w:hAnsi="仿宋_GB2312" w:eastAsia="仿宋_GB2312" w:cs="仿宋_GB2312"/>
          <w:kern w:val="2"/>
          <w:sz w:val="32"/>
          <w:szCs w:val="32"/>
          <w:lang w:val="en-US" w:eastAsia="zh-CN"/>
        </w:rPr>
        <w:t>省市</w:t>
      </w:r>
      <w:r>
        <w:rPr>
          <w:rFonts w:hint="eastAsia" w:ascii="仿宋_GB2312" w:hAnsi="仿宋_GB2312" w:eastAsia="仿宋_GB2312" w:cs="仿宋_GB2312"/>
          <w:kern w:val="2"/>
          <w:sz w:val="32"/>
          <w:szCs w:val="32"/>
          <w:lang w:eastAsia="zh-CN"/>
        </w:rPr>
        <w:t>重点工作部署，坚持党建引领，推动党建与业务深度融合，</w:t>
      </w:r>
      <w:r>
        <w:rPr>
          <w:rFonts w:hint="eastAsia" w:ascii="仿宋_GB2312" w:hAnsi="仿宋_GB2312" w:eastAsia="仿宋_GB2312" w:cs="仿宋_GB2312"/>
          <w:kern w:val="2"/>
          <w:sz w:val="32"/>
          <w:szCs w:val="32"/>
          <w:lang w:val="en-US" w:eastAsia="zh-CN"/>
        </w:rPr>
        <w:t>以提升仲裁</w:t>
      </w:r>
      <w:r>
        <w:rPr>
          <w:rFonts w:hint="eastAsia" w:ascii="仿宋_GB2312" w:hAnsi="仿宋_GB2312" w:eastAsia="仿宋_GB2312" w:cs="仿宋_GB2312"/>
          <w:kern w:val="2"/>
          <w:sz w:val="32"/>
          <w:szCs w:val="32"/>
          <w:lang w:eastAsia="zh-CN"/>
        </w:rPr>
        <w:t>案件办理质效</w:t>
      </w:r>
      <w:r>
        <w:rPr>
          <w:rFonts w:hint="eastAsia" w:ascii="仿宋_GB2312" w:hAnsi="仿宋_GB2312" w:eastAsia="仿宋_GB2312" w:cs="仿宋_GB2312"/>
          <w:kern w:val="2"/>
          <w:sz w:val="32"/>
          <w:szCs w:val="32"/>
          <w:lang w:val="en-US" w:eastAsia="zh-CN"/>
        </w:rPr>
        <w:t>为核心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加强涉外法律服务统筹谋划、加强诉调对接多元解纷</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依托六区办事处和多领域仲裁联络点延伸仲裁服务触角，形成“一核双强6+N”工作模式，助力经济发展与优化营商环境，全面推动</w:t>
      </w:r>
      <w:r>
        <w:rPr>
          <w:rFonts w:hint="eastAsia" w:ascii="仿宋_GB2312" w:hAnsi="仿宋_GB2312" w:eastAsia="仿宋_GB2312" w:cs="仿宋_GB2312"/>
          <w:kern w:val="2"/>
          <w:sz w:val="32"/>
          <w:szCs w:val="32"/>
          <w:lang w:eastAsia="zh-CN"/>
        </w:rPr>
        <w:t>南京仲裁高质量发展。</w:t>
      </w:r>
    </w:p>
    <w:p w14:paraId="06E75F2C">
      <w:pPr>
        <w:widowControl w:val="0"/>
        <w:autoSpaceDE/>
        <w:autoSpaceDN/>
        <w:spacing w:line="560" w:lineRule="exact"/>
        <w:ind w:firstLine="651" w:firstLineChars="200"/>
        <w:textAlignment w:val="auto"/>
        <w:outlineLvl w:val="0"/>
        <w:rPr>
          <w:rFonts w:ascii="黑体" w:hAnsi="黑体" w:eastAsia="黑体" w:cs="黑体"/>
          <w:b/>
          <w:bCs/>
          <w:spacing w:val="2"/>
          <w:sz w:val="32"/>
          <w:szCs w:val="32"/>
          <w:lang w:eastAsia="zh-CN"/>
        </w:rPr>
      </w:pPr>
      <w:r>
        <w:rPr>
          <w:rFonts w:ascii="黑体" w:hAnsi="黑体" w:eastAsia="黑体" w:cs="黑体"/>
          <w:b/>
          <w:bCs/>
          <w:spacing w:val="2"/>
          <w:sz w:val="32"/>
          <w:szCs w:val="32"/>
          <w:lang w:eastAsia="zh-CN"/>
        </w:rPr>
        <w:t>二、评价结果</w:t>
      </w:r>
    </w:p>
    <w:p w14:paraId="308B1470">
      <w:pPr>
        <w:widowControl w:val="0"/>
        <w:autoSpaceDE/>
        <w:autoSpaceDN/>
        <w:spacing w:line="560" w:lineRule="exact"/>
        <w:ind w:firstLine="651" w:firstLineChars="200"/>
        <w:textAlignment w:val="auto"/>
        <w:outlineLvl w:val="1"/>
        <w:rPr>
          <w:rFonts w:ascii="楷体" w:hAnsi="楷体" w:eastAsia="楷体" w:cs="楷体"/>
          <w:b/>
          <w:bCs/>
          <w:spacing w:val="2"/>
          <w:sz w:val="32"/>
          <w:szCs w:val="32"/>
          <w:lang w:eastAsia="zh-CN"/>
        </w:rPr>
      </w:pPr>
      <w:r>
        <w:rPr>
          <w:rFonts w:ascii="楷体" w:hAnsi="楷体" w:eastAsia="楷体" w:cs="楷体"/>
          <w:b/>
          <w:bCs/>
          <w:spacing w:val="2"/>
          <w:sz w:val="32"/>
          <w:szCs w:val="32"/>
          <w:lang w:eastAsia="zh-CN"/>
        </w:rPr>
        <w:t>(一)评价对象和范围</w:t>
      </w:r>
    </w:p>
    <w:p w14:paraId="1969C466">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本次绩效评价的对象为南京仲裁委员会办公室纳入预算管理的所有收支情况。评价时间段为202</w:t>
      </w:r>
      <w:r>
        <w:rPr>
          <w:rFonts w:hint="default" w:ascii="仿宋_GB2312" w:hAnsi="仿宋_GB2312" w:eastAsia="仿宋_GB2312" w:cs="仿宋_GB2312"/>
          <w:kern w:val="2"/>
          <w:sz w:val="32"/>
          <w:szCs w:val="32"/>
          <w:lang w:eastAsia="zh-CN"/>
        </w:rPr>
        <w:t>4</w:t>
      </w:r>
      <w:r>
        <w:rPr>
          <w:rFonts w:hint="eastAsia" w:ascii="仿宋_GB2312" w:hAnsi="仿宋_GB2312" w:eastAsia="仿宋_GB2312" w:cs="仿宋_GB2312"/>
          <w:kern w:val="2"/>
          <w:sz w:val="32"/>
          <w:szCs w:val="32"/>
          <w:lang w:eastAsia="zh-CN"/>
        </w:rPr>
        <w:t>年1月1日至202</w:t>
      </w:r>
      <w:r>
        <w:rPr>
          <w:rFonts w:hint="default" w:ascii="仿宋_GB2312" w:hAnsi="仿宋_GB2312" w:eastAsia="仿宋_GB2312" w:cs="仿宋_GB2312"/>
          <w:kern w:val="2"/>
          <w:sz w:val="32"/>
          <w:szCs w:val="32"/>
          <w:lang w:eastAsia="zh-CN"/>
        </w:rPr>
        <w:t>4</w:t>
      </w:r>
      <w:r>
        <w:rPr>
          <w:rFonts w:hint="eastAsia" w:ascii="仿宋_GB2312" w:hAnsi="仿宋_GB2312" w:eastAsia="仿宋_GB2312" w:cs="仿宋_GB2312"/>
          <w:kern w:val="2"/>
          <w:sz w:val="32"/>
          <w:szCs w:val="32"/>
          <w:lang w:eastAsia="zh-CN"/>
        </w:rPr>
        <w:t>年12月31日。</w:t>
      </w:r>
    </w:p>
    <w:p w14:paraId="34D31BA4">
      <w:pPr>
        <w:widowControl w:val="0"/>
        <w:autoSpaceDE/>
        <w:autoSpaceDN/>
        <w:spacing w:line="560" w:lineRule="exact"/>
        <w:ind w:firstLine="651" w:firstLineChars="200"/>
        <w:textAlignment w:val="auto"/>
        <w:outlineLvl w:val="1"/>
        <w:rPr>
          <w:rFonts w:ascii="楷体" w:hAnsi="楷体" w:eastAsia="楷体" w:cs="楷体"/>
          <w:b/>
          <w:bCs/>
          <w:spacing w:val="2"/>
          <w:sz w:val="32"/>
          <w:szCs w:val="32"/>
          <w:lang w:eastAsia="zh-CN"/>
        </w:rPr>
      </w:pPr>
      <w:r>
        <w:rPr>
          <w:rFonts w:ascii="楷体" w:hAnsi="楷体" w:eastAsia="楷体" w:cs="楷体"/>
          <w:b/>
          <w:bCs/>
          <w:spacing w:val="2"/>
          <w:sz w:val="32"/>
          <w:szCs w:val="32"/>
          <w:lang w:eastAsia="zh-CN"/>
        </w:rPr>
        <w:t>(二)评价结论</w:t>
      </w:r>
    </w:p>
    <w:p w14:paraId="1BFCF9C0">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对照部门整体绩效评价指标体系，从决策、过程、履职、效益和满意度五个维度，通过数据采集、实地查阅和满意度调查等方式，对202</w:t>
      </w:r>
      <w:r>
        <w:rPr>
          <w:rFonts w:hint="default" w:ascii="仿宋_GB2312" w:hAnsi="仿宋_GB2312" w:eastAsia="仿宋_GB2312" w:cs="仿宋_GB2312"/>
          <w:kern w:val="2"/>
          <w:sz w:val="32"/>
          <w:szCs w:val="32"/>
          <w:lang w:eastAsia="zh-CN"/>
        </w:rPr>
        <w:t>4</w:t>
      </w:r>
      <w:r>
        <w:rPr>
          <w:rFonts w:hint="eastAsia" w:ascii="仿宋_GB2312" w:hAnsi="仿宋_GB2312" w:eastAsia="仿宋_GB2312" w:cs="仿宋_GB2312"/>
          <w:kern w:val="2"/>
          <w:sz w:val="32"/>
          <w:szCs w:val="32"/>
          <w:lang w:eastAsia="zh-CN"/>
        </w:rPr>
        <w:t>年度我办整体绩效进行客观公正的评价，</w:t>
      </w:r>
      <w:r>
        <w:rPr>
          <w:rFonts w:hint="eastAsia" w:ascii="仿宋_GB2312" w:hAnsi="仿宋_GB2312" w:eastAsia="仿宋_GB2312" w:cs="仿宋_GB2312"/>
          <w:kern w:val="2"/>
          <w:sz w:val="32"/>
          <w:szCs w:val="32"/>
          <w:highlight w:val="none"/>
          <w:lang w:eastAsia="zh-CN"/>
        </w:rPr>
        <w:t>评价总得分为</w:t>
      </w:r>
      <w:r>
        <w:rPr>
          <w:rFonts w:hint="eastAsia" w:ascii="仿宋_GB2312" w:hAnsi="仿宋_GB2312" w:eastAsia="仿宋_GB2312" w:cs="仿宋_GB2312"/>
          <w:kern w:val="2"/>
          <w:sz w:val="32"/>
          <w:szCs w:val="32"/>
          <w:highlight w:val="none"/>
          <w:lang w:val="en-US" w:eastAsia="zh-CN"/>
        </w:rPr>
        <w:t>99.39</w:t>
      </w:r>
      <w:r>
        <w:rPr>
          <w:rFonts w:hint="eastAsia" w:ascii="仿宋_GB2312" w:hAnsi="仿宋_GB2312" w:eastAsia="仿宋_GB2312" w:cs="仿宋_GB2312"/>
          <w:kern w:val="2"/>
          <w:sz w:val="32"/>
          <w:szCs w:val="32"/>
          <w:highlight w:val="none"/>
          <w:lang w:eastAsia="zh-CN"/>
        </w:rPr>
        <w:t>分，</w:t>
      </w:r>
      <w:r>
        <w:rPr>
          <w:rFonts w:hint="eastAsia" w:ascii="仿宋_GB2312" w:hAnsi="仿宋_GB2312" w:eastAsia="仿宋_GB2312" w:cs="仿宋_GB2312"/>
          <w:kern w:val="2"/>
          <w:sz w:val="32"/>
          <w:szCs w:val="32"/>
          <w:lang w:eastAsia="zh-CN"/>
        </w:rPr>
        <w:t>绩效评级属于“优”(详见附件1：《南京仲裁办202</w:t>
      </w:r>
      <w:r>
        <w:rPr>
          <w:rFonts w:hint="default" w:ascii="仿宋_GB2312" w:hAnsi="仿宋_GB2312" w:eastAsia="仿宋_GB2312" w:cs="仿宋_GB2312"/>
          <w:kern w:val="2"/>
          <w:sz w:val="32"/>
          <w:szCs w:val="32"/>
          <w:lang w:eastAsia="zh-CN"/>
        </w:rPr>
        <w:t>4</w:t>
      </w:r>
      <w:r>
        <w:rPr>
          <w:rFonts w:hint="eastAsia" w:ascii="仿宋_GB2312" w:hAnsi="仿宋_GB2312" w:eastAsia="仿宋_GB2312" w:cs="仿宋_GB2312"/>
          <w:kern w:val="2"/>
          <w:sz w:val="32"/>
          <w:szCs w:val="32"/>
          <w:lang w:eastAsia="zh-CN"/>
        </w:rPr>
        <w:t>年度部门整体绩效评价综合评分表》)。</w:t>
      </w:r>
      <w:bookmarkStart w:id="2" w:name="_GoBack"/>
      <w:bookmarkEnd w:id="2"/>
    </w:p>
    <w:p w14:paraId="276E8F3E">
      <w:pPr>
        <w:widowControl w:val="0"/>
        <w:autoSpaceDE/>
        <w:autoSpaceDN/>
        <w:spacing w:line="560" w:lineRule="exact"/>
        <w:ind w:firstLine="651" w:firstLineChars="200"/>
        <w:textAlignment w:val="auto"/>
        <w:outlineLvl w:val="0"/>
        <w:rPr>
          <w:rFonts w:ascii="黑体" w:hAnsi="黑体" w:eastAsia="黑体" w:cs="黑体"/>
          <w:b/>
          <w:bCs/>
          <w:spacing w:val="2"/>
          <w:sz w:val="32"/>
          <w:szCs w:val="32"/>
          <w:lang w:eastAsia="zh-CN"/>
        </w:rPr>
      </w:pPr>
      <w:r>
        <w:rPr>
          <w:rFonts w:ascii="黑体" w:hAnsi="黑体" w:eastAsia="黑体" w:cs="黑体"/>
          <w:b/>
          <w:bCs/>
          <w:spacing w:val="2"/>
          <w:sz w:val="32"/>
          <w:szCs w:val="32"/>
          <w:lang w:eastAsia="zh-CN"/>
        </w:rPr>
        <w:t>三、履职成效</w:t>
      </w:r>
    </w:p>
    <w:p w14:paraId="35F4DD70">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2024年南京仲裁办主动担当、积极作为，接待司法部领导、市委领导调研，涉外仲裁工作获司法部充分肯定；获评全国公共法律服务工作先进集体；在政府全年重点工作中承担任务，发挥仲裁在多元纠纷中的作用；牵头成立长江经济带11省市仲裁联盟，打造共商共建共享区域一体化仲裁法律服务体系；赴香港参加国际仲裁理事大会，宣传推介江苏（南京）国际商事仲裁中心；获司法部推荐亮相2024年中国国际服务贸易交易会法律服务专题展等。</w:t>
      </w:r>
    </w:p>
    <w:p w14:paraId="1B73343E">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南京仲裁委员会2024年共受理案件数5086件，争议金额76.5亿元（线下案件案均争议金额280万元），</w:t>
      </w:r>
      <w:r>
        <w:rPr>
          <w:rFonts w:ascii="仿宋_GB2312" w:hAnsi="仿宋_GB2312" w:eastAsia="仿宋_GB2312" w:cs="仿宋_GB2312"/>
          <w:snapToGrid/>
          <w:kern w:val="2"/>
          <w:sz w:val="32"/>
          <w:szCs w:val="32"/>
          <w:highlight w:val="none"/>
          <w:lang w:eastAsia="zh-CN"/>
        </w:rPr>
        <w:t>非税收入完成率</w:t>
      </w:r>
      <w:r>
        <w:rPr>
          <w:rFonts w:hint="eastAsia" w:ascii="仿宋_GB2312" w:hAnsi="仿宋_GB2312" w:eastAsia="仿宋_GB2312" w:cs="仿宋_GB2312"/>
          <w:snapToGrid/>
          <w:kern w:val="2"/>
          <w:sz w:val="32"/>
          <w:szCs w:val="32"/>
          <w:highlight w:val="none"/>
          <w:lang w:eastAsia="zh-CN"/>
        </w:rPr>
        <w:t>1</w:t>
      </w:r>
      <w:r>
        <w:rPr>
          <w:rFonts w:hint="eastAsia" w:ascii="仿宋_GB2312" w:hAnsi="仿宋_GB2312" w:eastAsia="仿宋_GB2312" w:cs="仿宋_GB2312"/>
          <w:snapToGrid/>
          <w:kern w:val="2"/>
          <w:sz w:val="32"/>
          <w:szCs w:val="32"/>
          <w:highlight w:val="none"/>
          <w:lang w:val="en-US" w:eastAsia="zh-CN"/>
        </w:rPr>
        <w:t>18.68</w:t>
      </w:r>
      <w:r>
        <w:rPr>
          <w:rFonts w:ascii="仿宋_GB2312" w:hAnsi="仿宋_GB2312" w:eastAsia="仿宋_GB2312" w:cs="仿宋_GB2312"/>
          <w:snapToGrid/>
          <w:kern w:val="2"/>
          <w:sz w:val="32"/>
          <w:szCs w:val="32"/>
          <w:highlight w:val="none"/>
          <w:lang w:eastAsia="zh-CN"/>
        </w:rPr>
        <w:t>%</w:t>
      </w:r>
      <w:r>
        <w:rPr>
          <w:rFonts w:hint="eastAsia" w:ascii="仿宋_GB2312" w:hAnsi="仿宋_GB2312" w:eastAsia="仿宋_GB2312" w:cs="仿宋_GB2312"/>
          <w:kern w:val="2"/>
          <w:sz w:val="32"/>
          <w:szCs w:val="32"/>
          <w:lang w:val="en-US" w:eastAsia="zh-CN"/>
        </w:rPr>
        <w:t>。各项业务数据稳步增长，特别是争议金额同比增长超45%。结案率97.5%，调解和解率55%；一方或双方在外地的当事人占比达到70%，双方均在外地的当事人占比达到30%，为优化市场化、法治化、国际化营商环境做出仲裁贡献。</w:t>
      </w:r>
    </w:p>
    <w:p w14:paraId="5051AFDB">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一、围绕中心工作，锁定仲裁高质量发展总目标</w:t>
      </w:r>
    </w:p>
    <w:p w14:paraId="1AED3446">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一）打破舒适圈，主动作为勇担当。一是主动靠前，承担全市重点任务。《2024年市政府重点工作任务》中列入仲裁工作，通过制定促进民营经济发展壮大工作举措，为民营企业发展保驾护航。二是延伸触角，持续设立仲裁联络点。聚焦省市经济发展重点领域，先后在河西金融城、软件谷、南京航运交易中心、江宁经开区、麒麟科创园、浦口经开区等8个经济开发区、特色产业园设立仲裁联络点，创新服务机制，定制仲裁服务、定期开展仲裁法律宣传、培训活动、设立仲裁调解室，为企业提供“家门口”仲裁服务。</w:t>
      </w:r>
    </w:p>
    <w:p w14:paraId="175C7D94">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二）服务新质生产力，多措并举强保障。一是专业高效处理知识产权纠纷。今年已累计受理知识产权案件168件，争议金额7.9亿元，知识产权调解中心解决纠纷206件，争议金额763万元，涉及专利、商标、专利代理、著作权等相关领域。二是发布知识产权典型案例。参与市政府召开的知识产权新闻发布会，发布南京知识产权仲裁保护情况和典型案例，在市政府发布的《南京市知识产权保护状况》白皮书中，连续9年专章介绍知识产权仲裁工作情况。三是形成知识产权保护合力。与省知识产权保护中心签署《知识产权仲裁调解合作协议》，拓宽仲裁在知识产权保护服务渠道。</w:t>
      </w:r>
    </w:p>
    <w:p w14:paraId="0483EA66">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加强宣传拓展，多路并进亮品牌。一是仲裁进企业。今年受理涉民营企业案件数、争议金额分别占线下案件的84.6%、78.5%。针对不同领域，组织企业家进南仲，发布涉外、基金、知识产权、民营企业保护、银行等仲裁典型案例。二是仲裁进律所。今年共举办9期“仲裁进律所”活动，邀请知名仲裁员走进律所，共30多家律所参与，受众4000人次。与市律协联合开展7期“实习律师进南仲”活动，共同培养全面综合发展的法律专业人才。三是仲裁进园区。重点关注新能源、新材料、先进制造、电子信息、低空经济等战略性新兴产业，走进园区开展常态化的普法宣传活动。举办国际工程、跨境电商、海事海商、S基金、低空经济等领域沙龙活动、培训讲座30余场，受众5000余人次。四是仲裁进机关。编印《仲裁专报》，向市政府办及时报送政务信息稿件，走进党校专题授课，向机关部门宣传介绍仲裁工作开展情况。</w:t>
      </w:r>
    </w:p>
    <w:p w14:paraId="201D661A">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四）加强诉仲调对接，完善机制促解纷。与市中院、市工商联联合印发《关于进一步完善诉讼调解仲裁工作协调机制的指导意见》，进一步完善诉讼、仲裁相衔接的“一站式”矛盾纠纷化解工作机制。与省市区法院对接，共同在源头预防、前端化解、专家调解、终端解纷、保全与执行等方面形成合力，使诉仲联动化解纠纷工作取得新成效。积极参与基层社会治理，在相关试点基层法院开展诉源分流工作，今年已累计分流案件约2000件，争议金额近5亿。</w:t>
      </w:r>
    </w:p>
    <w:p w14:paraId="3D045254">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二、突出涉外仲裁，拓展仲裁高质量发展新方向</w:t>
      </w:r>
    </w:p>
    <w:p w14:paraId="09C29B02">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江苏（南京）国际商事仲裁中心今年持续保持省内首位、稳中向上的势头，受理涉外因素案件92件，争议金额11.2亿，其中适用国际程序案件10件，实现大幅增长。受理涉自贸区案件94件，争议金额5.8亿。12月27日，司法部党组书记、部长贺荣率队，在江苏省委常委、南京市委书记周红波，省委常委、省委政法委书记李耀光等陪同下，到江苏（南京）国际商事仲裁中心调研，对涉外仲裁工作取得的显著成效给予充分肯定，并强调要发挥江苏重大国家战略的叠加效应，加快提升涉外法律服务能力，将南京仲裁委员会/江苏（南京）国际商事仲裁中心建设成为有中国特色国际一流的仲裁机构。 </w:t>
      </w:r>
    </w:p>
    <w:p w14:paraId="3BDFA902">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一）做强生态圈，强链补链提服务。一是服务港澳企业。连续9年与省港澳办共同开展“港澳投资企业法律服务月”活动，走进港澳投资企业、侨企、外企，开展送法服务。二是服务“出海”企业。积极参与省工商联组织的“海外商会江苏周系列活动”肯尼亚经贸投资交流会，与肯尼亚江苏商会线上签署合作协议，构建境外纠纷解决快速响应机制，为“走出去”企业开通“绿色通道”。三是服务航运物流企业。为服务南京区域性航运物流中心建设，与市交通局、南京海事局共同成立江苏首家海商海事专业仲裁院——南京国际航运仲裁院。参与发起成立海事海商公益法律服务中心，加入长江经济带航运仲裁联盟，形成“全链条”航运服务保障体系，提升南京海事法律服务“软环境”。</w:t>
      </w:r>
    </w:p>
    <w:p w14:paraId="3A517888">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做大朋友圈，携手同行共发展。一是加强对外交流。派员赴香港参加江苏省涉外法律服务推介活动，向香港企业及法律服务机构，介绍仲裁中心在涉外仲裁方面最新发展。参加2024年中国国际服务贸易交易会法律服务专题展。二是加强区域合作。牵头成立长江经济带国际商事仲裁高质量发展联盟，与长江经济带沿线11个省（市）仲裁机构、武汉大学、西南政法大学、南京大学、东南大学4家高校法学院以及公证、律协、域外法律查明服务中心等6家涉外法律服务机构代表达成合作，打造共商共建共享的长江经济带区域一体化仲裁法律服务体系。与海南国际仲裁院、广州仲裁委员会、澳门法律交流协进会等签署合作共建协议，实现涉外仲裁协同合作、资源共享。</w:t>
      </w:r>
    </w:p>
    <w:p w14:paraId="54144B5C">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立足仲裁圈，提升内功强特色。一是完善与涉外仲裁案件相适应的规则体系，进一步修订完善仲裁规则，并正式对外发布，重点围绕临时仲裁、第三方资助仲裁等事项进一步规定，做好与国际规则衔接，加入金融专章，快审快结高效解决金融纠纷，满足境内外商事主体对先进仲裁规则和程序的需求。二是扩大涉外人才队伍，定向邀请40余名国际、国内领军型的商事专家加入仲裁员队伍，包括最高院国际商事专家委员会委员、国际商事仲裁中心建设专家委员会委员、全国人大常委会基本法委员会委员、境外知名仲裁机构或者组织的专家等。</w:t>
      </w:r>
    </w:p>
    <w:p w14:paraId="62CBBAB7">
      <w:pPr>
        <w:widowControl w:val="0"/>
        <w:autoSpaceDE/>
        <w:autoSpaceDN/>
        <w:spacing w:line="560" w:lineRule="exact"/>
        <w:ind w:firstLine="651" w:firstLineChars="200"/>
        <w:textAlignment w:val="auto"/>
        <w:outlineLvl w:val="0"/>
        <w:rPr>
          <w:rFonts w:ascii="黑体" w:hAnsi="黑体" w:eastAsia="黑体" w:cs="黑体"/>
          <w:b/>
          <w:bCs/>
          <w:spacing w:val="2"/>
          <w:sz w:val="32"/>
          <w:szCs w:val="32"/>
          <w:lang w:eastAsia="zh-CN"/>
        </w:rPr>
      </w:pPr>
      <w:r>
        <w:rPr>
          <w:rFonts w:ascii="黑体" w:hAnsi="黑体" w:eastAsia="黑体" w:cs="黑体"/>
          <w:b/>
          <w:bCs/>
          <w:spacing w:val="2"/>
          <w:sz w:val="32"/>
          <w:szCs w:val="32"/>
          <w:lang w:eastAsia="zh-CN"/>
        </w:rPr>
        <w:t>四、存在问题及原因分析</w:t>
      </w:r>
    </w:p>
    <w:p w14:paraId="3C504DD0">
      <w:pPr>
        <w:kinsoku/>
        <w:autoSpaceDE/>
        <w:autoSpaceDN/>
        <w:adjustRightInd/>
        <w:snapToGrid/>
        <w:spacing w:line="560" w:lineRule="exact"/>
        <w:ind w:firstLine="651" w:firstLineChars="200"/>
        <w:contextualSpacing/>
        <w:jc w:val="both"/>
        <w:textAlignment w:val="auto"/>
        <w:rPr>
          <w:rFonts w:hint="eastAsia" w:ascii="仿宋_GB2312" w:hAnsi="仿宋_GB2312" w:eastAsia="仿宋_GB2312" w:cs="仿宋_GB2312"/>
          <w:b w:val="0"/>
          <w:bCs w:val="0"/>
          <w:spacing w:val="2"/>
          <w:sz w:val="32"/>
          <w:szCs w:val="32"/>
          <w:lang w:eastAsia="zh-CN"/>
        </w:rPr>
      </w:pPr>
      <w:r>
        <w:rPr>
          <w:rFonts w:hint="eastAsia" w:ascii="楷体" w:hAnsi="楷体" w:eastAsia="楷体" w:cs="楷体"/>
          <w:b/>
          <w:bCs/>
          <w:spacing w:val="2"/>
          <w:sz w:val="32"/>
          <w:szCs w:val="32"/>
          <w:lang w:eastAsia="zh-CN"/>
        </w:rPr>
        <w:t>（一）信息化建设还需进一步完善。</w:t>
      </w:r>
      <w:r>
        <w:rPr>
          <w:rFonts w:hint="eastAsia" w:ascii="仿宋_GB2312" w:hAnsi="仿宋_GB2312" w:eastAsia="仿宋_GB2312" w:cs="仿宋_GB2312"/>
          <w:b w:val="0"/>
          <w:bCs w:val="0"/>
          <w:spacing w:val="2"/>
          <w:sz w:val="32"/>
          <w:szCs w:val="32"/>
          <w:lang w:eastAsia="zh-CN"/>
        </w:rPr>
        <w:t>目前仲裁业务需要的电子送达、档案扫描、远程办公等功能还未实现。主要原因是经费保障不足。</w:t>
      </w:r>
    </w:p>
    <w:p w14:paraId="3BAB5E9A">
      <w:pPr>
        <w:kinsoku/>
        <w:autoSpaceDE/>
        <w:autoSpaceDN/>
        <w:adjustRightInd/>
        <w:snapToGrid/>
        <w:spacing w:line="560" w:lineRule="exact"/>
        <w:ind w:firstLine="651" w:firstLineChars="200"/>
        <w:contextualSpacing/>
        <w:jc w:val="both"/>
        <w:textAlignment w:val="auto"/>
        <w:rPr>
          <w:rFonts w:hint="eastAsia" w:ascii="仿宋_GB2312" w:hAnsi="仿宋_GB2312" w:eastAsia="仿宋_GB2312" w:cs="仿宋_GB2312"/>
          <w:b w:val="0"/>
          <w:bCs w:val="0"/>
          <w:spacing w:val="2"/>
          <w:sz w:val="32"/>
          <w:szCs w:val="32"/>
          <w:lang w:eastAsia="zh-CN"/>
        </w:rPr>
      </w:pPr>
      <w:r>
        <w:rPr>
          <w:rFonts w:hint="eastAsia" w:ascii="楷体" w:hAnsi="楷体" w:eastAsia="楷体" w:cs="楷体"/>
          <w:b/>
          <w:bCs/>
          <w:spacing w:val="2"/>
          <w:sz w:val="32"/>
          <w:szCs w:val="32"/>
          <w:lang w:eastAsia="zh-CN"/>
        </w:rPr>
        <w:t>（二）无</w:t>
      </w:r>
      <w:r>
        <w:rPr>
          <w:rFonts w:hint="eastAsia" w:ascii="楷体" w:hAnsi="楷体" w:eastAsia="楷体" w:cs="楷体"/>
          <w:b/>
          <w:bCs/>
          <w:spacing w:val="2"/>
          <w:sz w:val="32"/>
          <w:szCs w:val="32"/>
          <w:lang w:val="en-US" w:eastAsia="zh-CN"/>
        </w:rPr>
        <w:t>国际仲裁业务发展相关经费保障</w:t>
      </w:r>
      <w:r>
        <w:rPr>
          <w:rFonts w:hint="eastAsia" w:ascii="楷体" w:hAnsi="楷体" w:eastAsia="楷体" w:cs="楷体"/>
          <w:b/>
          <w:bCs/>
          <w:spacing w:val="2"/>
          <w:sz w:val="32"/>
          <w:szCs w:val="32"/>
          <w:lang w:eastAsia="zh-CN"/>
        </w:rPr>
        <w:t>。</w:t>
      </w:r>
      <w:r>
        <w:rPr>
          <w:rFonts w:hint="eastAsia" w:ascii="仿宋_GB2312" w:hAnsi="仿宋_GB2312" w:eastAsia="仿宋_GB2312" w:cs="仿宋_GB2312"/>
          <w:sz w:val="32"/>
          <w:szCs w:val="32"/>
          <w:lang w:val="en-US" w:eastAsia="zh-CN"/>
        </w:rPr>
        <w:t>2021年增设国际仲裁部（网络仲裁部）后，我办通过公开招聘、人员调整组建国际仲裁部，开展国际仲裁相关业务，近几年相关经费都是使用原仲裁经费，未有新项目经费保障，原仲裁经费已不能保障业务发展需求。</w:t>
      </w:r>
    </w:p>
    <w:p w14:paraId="11C4BF92">
      <w:pPr>
        <w:keepNext w:val="0"/>
        <w:keepLines w:val="0"/>
        <w:pageBreakBefore w:val="0"/>
        <w:widowControl w:val="0"/>
        <w:wordWrap/>
        <w:overflowPunct/>
        <w:topLinePunct w:val="0"/>
        <w:autoSpaceDE/>
        <w:autoSpaceDN/>
        <w:bidi w:val="0"/>
        <w:spacing w:line="560" w:lineRule="exact"/>
        <w:ind w:left="0" w:firstLine="651" w:firstLineChars="200"/>
        <w:textAlignment w:val="auto"/>
        <w:outlineLvl w:val="0"/>
        <w:rPr>
          <w:rFonts w:ascii="黑体" w:hAnsi="黑体" w:eastAsia="黑体" w:cs="黑体"/>
          <w:b/>
          <w:bCs/>
          <w:spacing w:val="2"/>
          <w:sz w:val="32"/>
          <w:szCs w:val="32"/>
          <w:lang w:eastAsia="zh-CN"/>
        </w:rPr>
      </w:pPr>
      <w:r>
        <w:rPr>
          <w:rFonts w:ascii="黑体" w:hAnsi="黑体" w:eastAsia="黑体" w:cs="黑体"/>
          <w:b/>
          <w:bCs/>
          <w:spacing w:val="2"/>
          <w:sz w:val="32"/>
          <w:szCs w:val="32"/>
          <w:lang w:eastAsia="zh-CN"/>
        </w:rPr>
        <w:t>五、有关建议</w:t>
      </w:r>
    </w:p>
    <w:p w14:paraId="295237A2">
      <w:pPr>
        <w:keepNext w:val="0"/>
        <w:keepLines w:val="0"/>
        <w:pageBreakBefore w:val="0"/>
        <w:widowControl w:val="0"/>
        <w:wordWrap/>
        <w:overflowPunct/>
        <w:topLinePunct w:val="0"/>
        <w:autoSpaceDE/>
        <w:autoSpaceDN/>
        <w:bidi w:val="0"/>
        <w:spacing w:line="560" w:lineRule="exact"/>
        <w:ind w:left="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（一）积极向大数据局申报信息化项目。按照市里信息化建设计划，积极申报仲裁信息化项目改造，提升南京仲裁信息化水平，提高仲裁效率。</w:t>
      </w:r>
    </w:p>
    <w:p w14:paraId="6592E4B7">
      <w:pPr>
        <w:kinsoku/>
        <w:autoSpaceDE/>
        <w:autoSpaceDN/>
        <w:adjustRightInd/>
        <w:snapToGrid/>
        <w:spacing w:line="560" w:lineRule="exact"/>
        <w:ind w:firstLine="640" w:firstLineChars="200"/>
        <w:contextualSpacing/>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z w:val="32"/>
          <w:szCs w:val="32"/>
          <w:lang w:val="en-US" w:eastAsia="zh-CN"/>
        </w:rPr>
        <w:t>（二）积极协调财政局增加国际仲裁业务专项经费。与预算编制同步协调国际仲裁业务专项经费，促进国际仲裁业务发展，提高南京仲裁国际知名度。</w:t>
      </w:r>
    </w:p>
    <w:p w14:paraId="30C689BD">
      <w:pPr>
        <w:widowControl w:val="0"/>
        <w:autoSpaceDE/>
        <w:autoSpaceDN/>
        <w:spacing w:line="560" w:lineRule="exact"/>
        <w:ind w:firstLine="651" w:firstLineChars="200"/>
        <w:textAlignment w:val="auto"/>
        <w:outlineLvl w:val="0"/>
        <w:rPr>
          <w:rFonts w:ascii="黑体" w:hAnsi="黑体" w:eastAsia="黑体" w:cs="黑体"/>
          <w:b/>
          <w:bCs/>
          <w:spacing w:val="2"/>
          <w:sz w:val="32"/>
          <w:szCs w:val="32"/>
          <w:lang w:eastAsia="zh-CN"/>
        </w:rPr>
      </w:pPr>
      <w:r>
        <w:rPr>
          <w:rFonts w:ascii="黑体" w:hAnsi="黑体" w:eastAsia="黑体" w:cs="黑体"/>
          <w:b/>
          <w:bCs/>
          <w:spacing w:val="2"/>
          <w:sz w:val="32"/>
          <w:szCs w:val="32"/>
          <w:lang w:eastAsia="zh-CN"/>
        </w:rPr>
        <w:t>六、评价工作开展情况及其他需要说明的情况</w:t>
      </w:r>
    </w:p>
    <w:p w14:paraId="2FA331A5">
      <w:pPr>
        <w:kinsoku/>
        <w:autoSpaceDE/>
        <w:autoSpaceDN/>
        <w:adjustRightInd/>
        <w:snapToGrid/>
        <w:spacing w:line="560" w:lineRule="exact"/>
        <w:ind w:firstLine="651" w:firstLineChars="200"/>
        <w:contextualSpacing/>
        <w:jc w:val="both"/>
        <w:textAlignment w:val="auto"/>
        <w:rPr>
          <w:rFonts w:ascii="楷体" w:hAnsi="楷体" w:eastAsia="楷体" w:cs="楷体"/>
          <w:b/>
          <w:bCs/>
          <w:spacing w:val="2"/>
          <w:sz w:val="32"/>
          <w:szCs w:val="32"/>
          <w:lang w:eastAsia="zh-CN"/>
        </w:rPr>
      </w:pPr>
      <w:r>
        <w:rPr>
          <w:rFonts w:hint="eastAsia" w:ascii="楷体" w:hAnsi="楷体" w:eastAsia="楷体" w:cs="楷体"/>
          <w:b/>
          <w:bCs/>
          <w:spacing w:val="2"/>
          <w:sz w:val="32"/>
          <w:szCs w:val="32"/>
          <w:lang w:eastAsia="zh-CN"/>
        </w:rPr>
        <w:t>（一）评价组织实施</w:t>
      </w:r>
    </w:p>
    <w:p w14:paraId="1791BC78">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我办根据绩效评价文件要求，及时部署绩效自评价工作，围绕绩效评价目标体系，对部门整体的决策与过程进行分析，整理提出存在的问题及改进建议。组织初评后与相关处室沟通确认，形成最终评价结果，并将绩效评价结果应用于预算安排和部门履职中，充分发挥绩效评价的效益和结果。</w:t>
      </w:r>
    </w:p>
    <w:p w14:paraId="34EF10A6">
      <w:pPr>
        <w:kinsoku/>
        <w:autoSpaceDE/>
        <w:autoSpaceDN/>
        <w:adjustRightInd/>
        <w:snapToGrid/>
        <w:spacing w:line="560" w:lineRule="exact"/>
        <w:ind w:firstLine="651" w:firstLineChars="200"/>
        <w:contextualSpacing/>
        <w:jc w:val="both"/>
        <w:textAlignment w:val="auto"/>
        <w:rPr>
          <w:rFonts w:ascii="楷体" w:hAnsi="楷体" w:eastAsia="楷体" w:cs="楷体"/>
          <w:b/>
          <w:bCs/>
          <w:spacing w:val="2"/>
          <w:sz w:val="32"/>
          <w:szCs w:val="32"/>
          <w:lang w:eastAsia="zh-CN"/>
        </w:rPr>
      </w:pPr>
      <w:r>
        <w:rPr>
          <w:rFonts w:hint="eastAsia" w:ascii="楷体" w:hAnsi="楷体" w:eastAsia="楷体" w:cs="楷体"/>
          <w:b/>
          <w:bCs/>
          <w:spacing w:val="2"/>
          <w:sz w:val="32"/>
          <w:szCs w:val="32"/>
          <w:lang w:eastAsia="zh-CN"/>
        </w:rPr>
        <w:t>（二）指标体系</w:t>
      </w:r>
    </w:p>
    <w:p w14:paraId="3AD19DDB">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根据绩效评价的基本原理、原则和项目特点，参照《南京市市级财政预算绩效评价操作规程》（宁财绩〔2020〕</w:t>
      </w:r>
      <w:r>
        <w:rPr>
          <w:rFonts w:hint="eastAsia" w:ascii="仿宋_GB2312" w:hAnsi="仿宋_GB2312" w:eastAsia="仿宋_GB2312" w:cs="仿宋_GB2312"/>
          <w:kern w:val="2"/>
          <w:sz w:val="32"/>
          <w:szCs w:val="32"/>
          <w:lang w:val="en-US" w:eastAsia="zh-CN"/>
        </w:rPr>
        <w:t>260</w:t>
      </w:r>
      <w:r>
        <w:rPr>
          <w:rFonts w:hint="eastAsia" w:ascii="仿宋_GB2312" w:hAnsi="仿宋_GB2312" w:eastAsia="仿宋_GB2312" w:cs="仿宋_GB2312"/>
          <w:kern w:val="2"/>
          <w:sz w:val="32"/>
          <w:szCs w:val="32"/>
          <w:lang w:eastAsia="zh-CN"/>
        </w:rPr>
        <w:t>号），结合我办202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年度工作目标任务、业务和资金管理，设计部门整体绩效评价指标体系，评价指标体系涵盖部门决策、过程、部门履职、效益和满意度五个方面。</w:t>
      </w:r>
    </w:p>
    <w:p w14:paraId="5717DE46">
      <w:pPr>
        <w:kinsoku/>
        <w:autoSpaceDE/>
        <w:autoSpaceDN/>
        <w:adjustRightInd/>
        <w:snapToGrid/>
        <w:spacing w:line="560" w:lineRule="exact"/>
        <w:ind w:firstLine="640" w:firstLineChars="200"/>
        <w:contextualSpacing/>
        <w:jc w:val="both"/>
        <w:textAlignment w:val="auto"/>
        <w:rPr>
          <w:rFonts w:ascii="仿宋_GB2312" w:hAnsi="仿宋_GB2312" w:eastAsia="仿宋_GB2312" w:cs="仿宋_GB2312"/>
          <w:kern w:val="2"/>
          <w:sz w:val="32"/>
          <w:szCs w:val="32"/>
          <w:lang w:eastAsia="zh-CN"/>
        </w:rPr>
      </w:pPr>
    </w:p>
    <w:p w14:paraId="26E2B843">
      <w:pPr>
        <w:pStyle w:val="3"/>
        <w:rPr>
          <w:rFonts w:ascii="仿宋_GB2312" w:hAnsi="仿宋_GB2312" w:eastAsia="仿宋_GB2312" w:cs="仿宋_GB2312"/>
          <w:kern w:val="2"/>
          <w:sz w:val="32"/>
          <w:szCs w:val="32"/>
          <w:lang w:eastAsia="zh-CN"/>
        </w:rPr>
        <w:sectPr>
          <w:footerReference r:id="rId3" w:type="default"/>
          <w:pgSz w:w="11907" w:h="16839"/>
          <w:pgMar w:top="1431" w:right="1689" w:bottom="1424" w:left="1785" w:header="0" w:footer="1261" w:gutter="0"/>
          <w:pgBorders>
            <w:top w:val="none" w:sz="0" w:space="0"/>
            <w:left w:val="none" w:sz="0" w:space="0"/>
            <w:bottom w:val="none" w:sz="0" w:space="0"/>
            <w:right w:val="none" w:sz="0" w:space="0"/>
          </w:pgBorders>
          <w:cols w:space="720" w:num="1"/>
        </w:sectPr>
      </w:pPr>
    </w:p>
    <w:p w14:paraId="79C490BD">
      <w:pPr>
        <w:widowControl w:val="0"/>
        <w:kinsoku/>
        <w:autoSpaceDE/>
        <w:autoSpaceDN/>
        <w:adjustRightInd/>
        <w:snapToGrid/>
        <w:spacing w:line="560" w:lineRule="exact"/>
        <w:contextualSpacing/>
        <w:jc w:val="center"/>
        <w:textAlignment w:val="auto"/>
        <w:rPr>
          <w:rFonts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附件：南京仲裁委员会办公室整体绩效评价自评表</w:t>
      </w:r>
    </w:p>
    <w:p w14:paraId="1AB5051B">
      <w:pPr>
        <w:spacing w:line="29" w:lineRule="exact"/>
        <w:rPr>
          <w:lang w:eastAsia="zh-CN"/>
        </w:rPr>
      </w:pPr>
    </w:p>
    <w:tbl>
      <w:tblPr>
        <w:tblStyle w:val="8"/>
        <w:tblW w:w="50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7"/>
        <w:gridCol w:w="978"/>
        <w:gridCol w:w="939"/>
        <w:gridCol w:w="761"/>
        <w:gridCol w:w="497"/>
        <w:gridCol w:w="2299"/>
        <w:gridCol w:w="5296"/>
        <w:gridCol w:w="4084"/>
        <w:gridCol w:w="767"/>
      </w:tblGrid>
      <w:tr w14:paraId="68C43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254" w:type="pct"/>
            <w:vMerge w:val="restart"/>
            <w:tcBorders>
              <w:bottom w:val="nil"/>
            </w:tcBorders>
            <w:shd w:val="clear" w:color="auto" w:fill="BDC1C2"/>
            <w:vAlign w:val="center"/>
          </w:tcPr>
          <w:p w14:paraId="4D77F4E0">
            <w:pPr>
              <w:pStyle w:val="9"/>
              <w:spacing w:before="104" w:line="212" w:lineRule="auto"/>
              <w:ind w:left="104" w:right="108"/>
              <w:jc w:val="both"/>
              <w:rPr>
                <w:rFonts w:hint="eastAsia" w:ascii="仿宋" w:hAnsi="仿宋" w:eastAsia="仿宋" w:cs="仿宋"/>
                <w:sz w:val="21"/>
                <w:szCs w:val="21"/>
              </w:rPr>
            </w:pPr>
            <w:r>
              <w:rPr>
                <w:rFonts w:hint="eastAsia" w:ascii="仿宋" w:hAnsi="仿宋" w:eastAsia="仿宋" w:cs="仿宋"/>
                <w:spacing w:val="-2"/>
                <w:sz w:val="21"/>
                <w:szCs w:val="21"/>
              </w:rPr>
              <w:t>一级指标</w:t>
            </w:r>
          </w:p>
        </w:tc>
        <w:tc>
          <w:tcPr>
            <w:tcW w:w="297" w:type="pct"/>
            <w:vMerge w:val="restart"/>
            <w:tcBorders>
              <w:bottom w:val="nil"/>
            </w:tcBorders>
            <w:shd w:val="clear" w:color="auto" w:fill="BABDBF"/>
            <w:vAlign w:val="center"/>
          </w:tcPr>
          <w:p w14:paraId="33B16566">
            <w:pPr>
              <w:pStyle w:val="9"/>
              <w:spacing w:before="202" w:line="220" w:lineRule="auto"/>
              <w:jc w:val="both"/>
              <w:rPr>
                <w:rFonts w:hint="eastAsia" w:ascii="仿宋" w:hAnsi="仿宋" w:eastAsia="仿宋" w:cs="仿宋"/>
                <w:sz w:val="21"/>
                <w:szCs w:val="21"/>
              </w:rPr>
            </w:pPr>
            <w:r>
              <w:rPr>
                <w:rFonts w:hint="eastAsia" w:ascii="仿宋" w:hAnsi="仿宋" w:eastAsia="仿宋" w:cs="仿宋"/>
                <w:spacing w:val="-2"/>
                <w:sz w:val="21"/>
                <w:szCs w:val="21"/>
              </w:rPr>
              <w:t>二级指标</w:t>
            </w:r>
          </w:p>
        </w:tc>
        <w:tc>
          <w:tcPr>
            <w:tcW w:w="1365" w:type="pct"/>
            <w:gridSpan w:val="4"/>
            <w:shd w:val="clear" w:color="auto" w:fill="B6B8BB"/>
            <w:vAlign w:val="center"/>
          </w:tcPr>
          <w:p w14:paraId="07CB005C">
            <w:pPr>
              <w:pStyle w:val="9"/>
              <w:spacing w:before="52" w:line="220" w:lineRule="auto"/>
              <w:jc w:val="center"/>
              <w:rPr>
                <w:rFonts w:hint="eastAsia" w:ascii="仿宋" w:hAnsi="仿宋" w:eastAsia="仿宋" w:cs="仿宋"/>
                <w:sz w:val="21"/>
                <w:szCs w:val="21"/>
              </w:rPr>
            </w:pPr>
            <w:r>
              <w:rPr>
                <w:rFonts w:hint="eastAsia" w:ascii="仿宋" w:hAnsi="仿宋" w:eastAsia="仿宋" w:cs="仿宋"/>
                <w:spacing w:val="-2"/>
                <w:sz w:val="21"/>
                <w:szCs w:val="21"/>
              </w:rPr>
              <w:t>三级指标</w:t>
            </w:r>
          </w:p>
        </w:tc>
        <w:tc>
          <w:tcPr>
            <w:tcW w:w="1608" w:type="pct"/>
            <w:vMerge w:val="restart"/>
            <w:tcBorders>
              <w:bottom w:val="nil"/>
            </w:tcBorders>
            <w:shd w:val="clear" w:color="auto" w:fill="B6B8BC"/>
            <w:vAlign w:val="center"/>
          </w:tcPr>
          <w:p w14:paraId="50659059">
            <w:pPr>
              <w:pStyle w:val="9"/>
              <w:spacing w:before="200" w:line="218" w:lineRule="auto"/>
              <w:jc w:val="center"/>
              <w:rPr>
                <w:rFonts w:hint="eastAsia" w:ascii="仿宋" w:hAnsi="仿宋" w:eastAsia="仿宋" w:cs="仿宋"/>
                <w:sz w:val="21"/>
                <w:szCs w:val="21"/>
              </w:rPr>
            </w:pPr>
            <w:r>
              <w:rPr>
                <w:rFonts w:hint="eastAsia" w:ascii="仿宋" w:hAnsi="仿宋" w:eastAsia="仿宋" w:cs="仿宋"/>
                <w:spacing w:val="1"/>
                <w:sz w:val="21"/>
                <w:szCs w:val="21"/>
              </w:rPr>
              <w:t>评价要点及评分规则</w:t>
            </w:r>
          </w:p>
        </w:tc>
        <w:tc>
          <w:tcPr>
            <w:tcW w:w="1240" w:type="pct"/>
            <w:vMerge w:val="restart"/>
            <w:tcBorders>
              <w:bottom w:val="nil"/>
            </w:tcBorders>
            <w:shd w:val="clear" w:color="auto" w:fill="B7B8BC"/>
            <w:vAlign w:val="center"/>
          </w:tcPr>
          <w:p w14:paraId="0DCEFB01">
            <w:pPr>
              <w:pStyle w:val="9"/>
              <w:spacing w:before="202" w:line="219" w:lineRule="auto"/>
              <w:jc w:val="center"/>
              <w:rPr>
                <w:rFonts w:hint="eastAsia" w:ascii="仿宋" w:hAnsi="仿宋" w:eastAsia="仿宋" w:cs="仿宋"/>
                <w:sz w:val="21"/>
                <w:szCs w:val="21"/>
                <w:lang w:eastAsia="zh-CN"/>
              </w:rPr>
            </w:pPr>
            <w:r>
              <w:rPr>
                <w:rFonts w:hint="eastAsia" w:ascii="仿宋" w:hAnsi="仿宋" w:eastAsia="仿宋" w:cs="仿宋"/>
                <w:spacing w:val="-2"/>
                <w:sz w:val="21"/>
                <w:szCs w:val="21"/>
              </w:rPr>
              <w:t>实际完成值</w:t>
            </w:r>
            <w:r>
              <w:rPr>
                <w:rFonts w:hint="eastAsia" w:ascii="仿宋" w:hAnsi="仿宋" w:eastAsia="仿宋" w:cs="仿宋"/>
                <w:spacing w:val="-2"/>
                <w:sz w:val="21"/>
                <w:szCs w:val="21"/>
                <w:lang w:eastAsia="zh-CN"/>
              </w:rPr>
              <w:t>及扣分说明</w:t>
            </w:r>
          </w:p>
        </w:tc>
        <w:tc>
          <w:tcPr>
            <w:tcW w:w="233" w:type="pct"/>
            <w:vMerge w:val="restart"/>
            <w:tcBorders>
              <w:bottom w:val="nil"/>
            </w:tcBorders>
            <w:shd w:val="clear" w:color="auto" w:fill="B7B8BC"/>
            <w:vAlign w:val="center"/>
          </w:tcPr>
          <w:p w14:paraId="67CB6316">
            <w:pPr>
              <w:pStyle w:val="9"/>
              <w:spacing w:before="202" w:line="219" w:lineRule="auto"/>
              <w:ind w:left="170"/>
              <w:jc w:val="both"/>
              <w:rPr>
                <w:rFonts w:hint="eastAsia" w:ascii="仿宋" w:hAnsi="仿宋" w:eastAsia="仿宋" w:cs="仿宋"/>
                <w:sz w:val="21"/>
                <w:szCs w:val="21"/>
              </w:rPr>
            </w:pPr>
            <w:r>
              <w:rPr>
                <w:rFonts w:hint="eastAsia" w:ascii="仿宋" w:hAnsi="仿宋" w:eastAsia="仿宋" w:cs="仿宋"/>
                <w:spacing w:val="-2"/>
                <w:sz w:val="21"/>
                <w:szCs w:val="21"/>
              </w:rPr>
              <w:t>得分</w:t>
            </w:r>
          </w:p>
        </w:tc>
      </w:tr>
      <w:tr w14:paraId="3CC9B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254" w:type="pct"/>
            <w:vMerge w:val="continue"/>
            <w:tcBorders>
              <w:top w:val="nil"/>
            </w:tcBorders>
            <w:vAlign w:val="center"/>
          </w:tcPr>
          <w:p w14:paraId="2581D5D5">
            <w:pPr>
              <w:jc w:val="center"/>
              <w:rPr>
                <w:rFonts w:hint="eastAsia" w:ascii="仿宋" w:hAnsi="仿宋" w:eastAsia="仿宋" w:cs="仿宋"/>
                <w:sz w:val="21"/>
                <w:szCs w:val="21"/>
              </w:rPr>
            </w:pPr>
          </w:p>
        </w:tc>
        <w:tc>
          <w:tcPr>
            <w:tcW w:w="297" w:type="pct"/>
            <w:vMerge w:val="continue"/>
            <w:tcBorders>
              <w:top w:val="nil"/>
            </w:tcBorders>
            <w:vAlign w:val="center"/>
          </w:tcPr>
          <w:p w14:paraId="45A5D96F">
            <w:pPr>
              <w:jc w:val="center"/>
              <w:rPr>
                <w:rFonts w:hint="eastAsia" w:ascii="仿宋" w:hAnsi="仿宋" w:eastAsia="仿宋" w:cs="仿宋"/>
                <w:sz w:val="21"/>
                <w:szCs w:val="21"/>
              </w:rPr>
            </w:pPr>
          </w:p>
        </w:tc>
        <w:tc>
          <w:tcPr>
            <w:tcW w:w="284" w:type="pct"/>
            <w:shd w:val="clear" w:color="auto" w:fill="B9BDBF"/>
            <w:vAlign w:val="center"/>
          </w:tcPr>
          <w:p w14:paraId="7AD305F3">
            <w:pPr>
              <w:pStyle w:val="9"/>
              <w:spacing w:before="57" w:line="220" w:lineRule="auto"/>
              <w:ind w:left="41"/>
              <w:jc w:val="center"/>
              <w:rPr>
                <w:rFonts w:hint="eastAsia" w:ascii="仿宋" w:hAnsi="仿宋" w:eastAsia="仿宋" w:cs="仿宋"/>
                <w:sz w:val="21"/>
                <w:szCs w:val="21"/>
              </w:rPr>
            </w:pPr>
            <w:r>
              <w:rPr>
                <w:rFonts w:hint="eastAsia" w:ascii="仿宋" w:hAnsi="仿宋" w:eastAsia="仿宋" w:cs="仿宋"/>
                <w:spacing w:val="-2"/>
                <w:sz w:val="21"/>
                <w:szCs w:val="21"/>
              </w:rPr>
              <w:t>指标名称</w:t>
            </w:r>
          </w:p>
        </w:tc>
        <w:tc>
          <w:tcPr>
            <w:tcW w:w="231" w:type="pct"/>
            <w:shd w:val="clear" w:color="auto" w:fill="BEC0C3"/>
            <w:vAlign w:val="center"/>
          </w:tcPr>
          <w:p w14:paraId="1BE38E27">
            <w:pPr>
              <w:pStyle w:val="9"/>
              <w:spacing w:before="57" w:line="219" w:lineRule="auto"/>
              <w:ind w:left="121"/>
              <w:jc w:val="center"/>
              <w:rPr>
                <w:rFonts w:hint="eastAsia" w:ascii="仿宋" w:hAnsi="仿宋" w:eastAsia="仿宋" w:cs="仿宋"/>
                <w:sz w:val="21"/>
                <w:szCs w:val="21"/>
              </w:rPr>
            </w:pPr>
            <w:r>
              <w:rPr>
                <w:rFonts w:hint="eastAsia" w:ascii="仿宋" w:hAnsi="仿宋" w:eastAsia="仿宋" w:cs="仿宋"/>
                <w:spacing w:val="-2"/>
                <w:sz w:val="21"/>
                <w:szCs w:val="21"/>
              </w:rPr>
              <w:t>标准值</w:t>
            </w:r>
          </w:p>
        </w:tc>
        <w:tc>
          <w:tcPr>
            <w:tcW w:w="151" w:type="pct"/>
            <w:shd w:val="clear" w:color="auto" w:fill="BEBFC3"/>
            <w:vAlign w:val="center"/>
          </w:tcPr>
          <w:p w14:paraId="1DDD9A01">
            <w:pPr>
              <w:pStyle w:val="9"/>
              <w:spacing w:before="57" w:line="219" w:lineRule="auto"/>
              <w:ind w:left="113"/>
              <w:jc w:val="center"/>
              <w:rPr>
                <w:rFonts w:hint="eastAsia" w:ascii="仿宋" w:hAnsi="仿宋" w:eastAsia="仿宋" w:cs="仿宋"/>
                <w:sz w:val="21"/>
                <w:szCs w:val="21"/>
              </w:rPr>
            </w:pPr>
            <w:r>
              <w:rPr>
                <w:rFonts w:hint="eastAsia" w:ascii="仿宋" w:hAnsi="仿宋" w:eastAsia="仿宋" w:cs="仿宋"/>
                <w:spacing w:val="-3"/>
                <w:sz w:val="21"/>
                <w:szCs w:val="21"/>
              </w:rPr>
              <w:t>分值</w:t>
            </w:r>
          </w:p>
        </w:tc>
        <w:tc>
          <w:tcPr>
            <w:tcW w:w="698" w:type="pct"/>
            <w:shd w:val="clear" w:color="auto" w:fill="B9BCBF"/>
            <w:vAlign w:val="center"/>
          </w:tcPr>
          <w:p w14:paraId="284D8D79">
            <w:pPr>
              <w:pStyle w:val="9"/>
              <w:spacing w:before="57" w:line="219" w:lineRule="auto"/>
              <w:ind w:left="493"/>
              <w:jc w:val="center"/>
              <w:rPr>
                <w:rFonts w:hint="eastAsia" w:ascii="仿宋" w:hAnsi="仿宋" w:eastAsia="仿宋" w:cs="仿宋"/>
                <w:sz w:val="21"/>
                <w:szCs w:val="21"/>
              </w:rPr>
            </w:pPr>
            <w:r>
              <w:rPr>
                <w:rFonts w:hint="eastAsia" w:ascii="仿宋" w:hAnsi="仿宋" w:eastAsia="仿宋" w:cs="仿宋"/>
                <w:spacing w:val="3"/>
                <w:sz w:val="21"/>
                <w:szCs w:val="21"/>
              </w:rPr>
              <w:t>指标解释说明</w:t>
            </w:r>
          </w:p>
        </w:tc>
        <w:tc>
          <w:tcPr>
            <w:tcW w:w="1608" w:type="pct"/>
            <w:vMerge w:val="continue"/>
            <w:tcBorders>
              <w:top w:val="nil"/>
            </w:tcBorders>
            <w:vAlign w:val="center"/>
          </w:tcPr>
          <w:p w14:paraId="442C191D">
            <w:pPr>
              <w:jc w:val="center"/>
              <w:rPr>
                <w:rFonts w:hint="eastAsia" w:ascii="仿宋" w:hAnsi="仿宋" w:eastAsia="仿宋" w:cs="仿宋"/>
                <w:sz w:val="21"/>
                <w:szCs w:val="21"/>
              </w:rPr>
            </w:pPr>
          </w:p>
        </w:tc>
        <w:tc>
          <w:tcPr>
            <w:tcW w:w="1240" w:type="pct"/>
            <w:vMerge w:val="continue"/>
            <w:tcBorders>
              <w:top w:val="nil"/>
            </w:tcBorders>
            <w:vAlign w:val="center"/>
          </w:tcPr>
          <w:p w14:paraId="0FD29B71">
            <w:pPr>
              <w:jc w:val="center"/>
              <w:rPr>
                <w:rFonts w:hint="eastAsia" w:ascii="仿宋" w:hAnsi="仿宋" w:eastAsia="仿宋" w:cs="仿宋"/>
                <w:sz w:val="21"/>
                <w:szCs w:val="21"/>
              </w:rPr>
            </w:pPr>
          </w:p>
        </w:tc>
        <w:tc>
          <w:tcPr>
            <w:tcW w:w="233" w:type="pct"/>
            <w:vMerge w:val="continue"/>
            <w:tcBorders>
              <w:top w:val="nil"/>
            </w:tcBorders>
            <w:vAlign w:val="center"/>
          </w:tcPr>
          <w:p w14:paraId="2B403857">
            <w:pPr>
              <w:jc w:val="center"/>
              <w:rPr>
                <w:rFonts w:hint="eastAsia" w:ascii="仿宋" w:hAnsi="仿宋" w:eastAsia="仿宋" w:cs="仿宋"/>
                <w:sz w:val="21"/>
                <w:szCs w:val="21"/>
              </w:rPr>
            </w:pPr>
          </w:p>
        </w:tc>
      </w:tr>
      <w:tr w14:paraId="3AAF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jc w:val="center"/>
        </w:trPr>
        <w:tc>
          <w:tcPr>
            <w:tcW w:w="254" w:type="pct"/>
            <w:vMerge w:val="restart"/>
            <w:vAlign w:val="center"/>
          </w:tcPr>
          <w:p w14:paraId="10E0F61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A决策</w:t>
            </w:r>
          </w:p>
          <w:p w14:paraId="3B95DF6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w:t>
            </w:r>
          </w:p>
        </w:tc>
        <w:tc>
          <w:tcPr>
            <w:tcW w:w="297" w:type="pct"/>
            <w:vMerge w:val="restart"/>
            <w:vAlign w:val="center"/>
          </w:tcPr>
          <w:p w14:paraId="6A98B0FF">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rPr>
              <w:t>A</w:t>
            </w:r>
            <w:r>
              <w:rPr>
                <w:rFonts w:hint="eastAsia" w:ascii="仿宋_GB2312" w:hAnsi="仿宋_GB2312" w:eastAsia="仿宋_GB2312" w:cs="仿宋_GB2312"/>
                <w:sz w:val="18"/>
                <w:szCs w:val="18"/>
                <w:highlight w:val="none"/>
                <w:lang w:val="en-US" w:eastAsia="zh-CN"/>
              </w:rPr>
              <w:t>1</w:t>
            </w:r>
          </w:p>
          <w:p w14:paraId="586B8E4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计划制定(</w:t>
            </w:r>
            <w:r>
              <w:rPr>
                <w:rFonts w:hint="eastAsia" w:ascii="仿宋_GB2312" w:hAnsi="仿宋_GB2312" w:eastAsia="仿宋_GB2312" w:cs="仿宋_GB2312"/>
                <w:sz w:val="18"/>
                <w:szCs w:val="18"/>
                <w:highlight w:val="none"/>
                <w:lang w:val="en-US" w:eastAsia="zh-CN"/>
              </w:rPr>
              <w:t>2</w:t>
            </w:r>
            <w:r>
              <w:rPr>
                <w:rFonts w:hint="eastAsia" w:ascii="仿宋_GB2312" w:hAnsi="仿宋_GB2312" w:eastAsia="仿宋_GB2312" w:cs="仿宋_GB2312"/>
                <w:sz w:val="18"/>
                <w:szCs w:val="18"/>
                <w:highlight w:val="none"/>
              </w:rPr>
              <w:t>)</w:t>
            </w:r>
          </w:p>
        </w:tc>
        <w:tc>
          <w:tcPr>
            <w:tcW w:w="284" w:type="pct"/>
            <w:vAlign w:val="center"/>
          </w:tcPr>
          <w:p w14:paraId="08EEEDB5">
            <w:pPr>
              <w:pStyle w:val="9"/>
              <w:jc w:val="center"/>
              <w:rPr>
                <w:rFonts w:hint="eastAsia" w:ascii="仿宋_GB2312" w:hAnsi="仿宋_GB2312" w:eastAsia="仿宋_GB2312" w:cs="仿宋_GB2312"/>
                <w:sz w:val="18"/>
                <w:szCs w:val="18"/>
                <w:highlight w:val="none"/>
              </w:rPr>
            </w:pPr>
          </w:p>
          <w:p w14:paraId="7EDD8B6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w:t>
            </w:r>
            <w:r>
              <w:rPr>
                <w:rFonts w:hint="eastAsia" w:ascii="仿宋_GB2312" w:hAnsi="仿宋_GB2312" w:eastAsia="仿宋_GB2312" w:cs="仿宋_GB2312"/>
                <w:sz w:val="18"/>
                <w:szCs w:val="18"/>
                <w:highlight w:val="none"/>
                <w:lang w:val="en-US" w:eastAsia="zh-CN"/>
              </w:rPr>
              <w:t>1</w:t>
            </w:r>
            <w:r>
              <w:rPr>
                <w:rFonts w:hint="eastAsia" w:ascii="仿宋_GB2312" w:hAnsi="仿宋_GB2312" w:eastAsia="仿宋_GB2312" w:cs="仿宋_GB2312"/>
                <w:sz w:val="18"/>
                <w:szCs w:val="18"/>
                <w:highlight w:val="none"/>
              </w:rPr>
              <w:t>1</w:t>
            </w:r>
          </w:p>
          <w:p w14:paraId="41C3C4A6">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中长期规划制定健全性</w:t>
            </w:r>
          </w:p>
        </w:tc>
        <w:tc>
          <w:tcPr>
            <w:tcW w:w="231" w:type="pct"/>
            <w:vAlign w:val="center"/>
          </w:tcPr>
          <w:p w14:paraId="67190FFA">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健全</w:t>
            </w:r>
          </w:p>
        </w:tc>
        <w:tc>
          <w:tcPr>
            <w:tcW w:w="151" w:type="pct"/>
            <w:vAlign w:val="center"/>
          </w:tcPr>
          <w:p w14:paraId="2339471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8" w:type="pct"/>
            <w:vAlign w:val="center"/>
          </w:tcPr>
          <w:p w14:paraId="12BD2F89">
            <w:pPr>
              <w:pStyle w:val="9"/>
              <w:rPr>
                <w:rFonts w:hint="eastAsia" w:ascii="仿宋_GB2312" w:hAnsi="仿宋_GB2312" w:eastAsia="仿宋_GB2312" w:cs="仿宋_GB2312"/>
                <w:sz w:val="18"/>
                <w:szCs w:val="18"/>
                <w:highlight w:val="none"/>
                <w:lang w:eastAsia="zh-CN"/>
              </w:rPr>
            </w:pPr>
          </w:p>
          <w:p w14:paraId="2846039F">
            <w:pPr>
              <w:pStyle w:val="9"/>
              <w:rPr>
                <w:rFonts w:hint="eastAsia" w:ascii="仿宋_GB2312" w:hAnsi="仿宋_GB2312" w:eastAsia="仿宋_GB2312" w:cs="仿宋_GB2312"/>
                <w:sz w:val="18"/>
                <w:szCs w:val="18"/>
                <w:highlight w:val="none"/>
                <w:lang w:eastAsia="zh-CN"/>
              </w:rPr>
            </w:pPr>
          </w:p>
          <w:p w14:paraId="62C250E2">
            <w:pPr>
              <w:pStyle w:val="9"/>
              <w:rPr>
                <w:rFonts w:hint="eastAsia" w:ascii="仿宋_GB2312" w:hAnsi="仿宋_GB2312" w:eastAsia="仿宋_GB2312" w:cs="仿宋_GB2312"/>
                <w:sz w:val="18"/>
                <w:szCs w:val="18"/>
                <w:highlight w:val="none"/>
                <w:lang w:eastAsia="zh-CN"/>
              </w:rPr>
            </w:pPr>
          </w:p>
          <w:p w14:paraId="027B136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部门中长期规划制定是否明确、且与部门职能相匹配。</w:t>
            </w:r>
          </w:p>
        </w:tc>
        <w:tc>
          <w:tcPr>
            <w:tcW w:w="1608" w:type="pct"/>
            <w:vAlign w:val="center"/>
          </w:tcPr>
          <w:p w14:paraId="17F9994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264A135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1.考察部门是否制定了明确的中长期规划，包括总体目标工作内容、时间进度等，部门规划是否涵盖了部门全部职能，并与部门职能相匹配；</w:t>
            </w:r>
          </w:p>
          <w:p w14:paraId="0DFB58F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评分规则：每个要点执行情况分为达成、部分达成、未达成三档，分别按分值的100%-80%(含)、80%-60%(含)、60%-0%合理确定分值。</w:t>
            </w:r>
          </w:p>
        </w:tc>
        <w:tc>
          <w:tcPr>
            <w:tcW w:w="1240" w:type="pct"/>
            <w:vAlign w:val="center"/>
          </w:tcPr>
          <w:p w14:paraId="0E087BA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1.部门制定了明确的中长期规划，包括总体目标和工作内容，达成；</w:t>
            </w:r>
          </w:p>
          <w:p w14:paraId="0527685F">
            <w:pPr>
              <w:pStyle w:val="9"/>
              <w:rPr>
                <w:rFonts w:hint="eastAsia" w:ascii="仿宋_GB2312" w:hAnsi="仿宋_GB2312" w:eastAsia="仿宋_GB2312" w:cs="仿宋_GB2312"/>
                <w:sz w:val="18"/>
                <w:szCs w:val="18"/>
                <w:highlight w:val="none"/>
                <w:lang w:eastAsia="zh-CN"/>
              </w:rPr>
            </w:pPr>
          </w:p>
        </w:tc>
        <w:tc>
          <w:tcPr>
            <w:tcW w:w="233" w:type="pct"/>
            <w:vAlign w:val="center"/>
          </w:tcPr>
          <w:p w14:paraId="7191746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1</w:t>
            </w:r>
          </w:p>
        </w:tc>
      </w:tr>
      <w:tr w14:paraId="33E4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1" w:hRule="atLeast"/>
          <w:jc w:val="center"/>
        </w:trPr>
        <w:tc>
          <w:tcPr>
            <w:tcW w:w="254" w:type="pct"/>
            <w:vMerge w:val="continue"/>
            <w:vAlign w:val="center"/>
          </w:tcPr>
          <w:p w14:paraId="047C311A">
            <w:pPr>
              <w:pStyle w:val="9"/>
              <w:jc w:val="center"/>
              <w:rPr>
                <w:rFonts w:hint="eastAsia" w:ascii="仿宋_GB2312" w:hAnsi="仿宋_GB2312" w:eastAsia="仿宋_GB2312" w:cs="仿宋_GB2312"/>
                <w:sz w:val="18"/>
                <w:szCs w:val="18"/>
                <w:highlight w:val="none"/>
              </w:rPr>
            </w:pPr>
          </w:p>
        </w:tc>
        <w:tc>
          <w:tcPr>
            <w:tcW w:w="297" w:type="pct"/>
            <w:vMerge w:val="continue"/>
            <w:tcBorders/>
            <w:vAlign w:val="center"/>
          </w:tcPr>
          <w:p w14:paraId="11AA4732">
            <w:pPr>
              <w:pStyle w:val="9"/>
              <w:jc w:val="center"/>
              <w:rPr>
                <w:rFonts w:hint="eastAsia" w:ascii="仿宋_GB2312" w:hAnsi="仿宋_GB2312" w:eastAsia="仿宋_GB2312" w:cs="仿宋_GB2312"/>
                <w:sz w:val="18"/>
                <w:szCs w:val="18"/>
                <w:highlight w:val="none"/>
              </w:rPr>
            </w:pPr>
          </w:p>
        </w:tc>
        <w:tc>
          <w:tcPr>
            <w:tcW w:w="284" w:type="pct"/>
            <w:vAlign w:val="center"/>
          </w:tcPr>
          <w:p w14:paraId="6E3C0675">
            <w:pPr>
              <w:pStyle w:val="9"/>
              <w:jc w:val="center"/>
              <w:rPr>
                <w:rFonts w:hint="eastAsia" w:ascii="仿宋_GB2312" w:hAnsi="仿宋_GB2312" w:eastAsia="仿宋_GB2312" w:cs="仿宋_GB2312"/>
                <w:sz w:val="18"/>
                <w:szCs w:val="18"/>
                <w:highlight w:val="none"/>
              </w:rPr>
            </w:pPr>
          </w:p>
          <w:p w14:paraId="2685D4AF">
            <w:pPr>
              <w:pStyle w:val="9"/>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A</w:t>
            </w:r>
            <w:r>
              <w:rPr>
                <w:rFonts w:hint="eastAsia" w:ascii="仿宋_GB2312" w:hAnsi="仿宋_GB2312" w:eastAsia="仿宋_GB2312" w:cs="仿宋_GB2312"/>
                <w:sz w:val="18"/>
                <w:szCs w:val="18"/>
                <w:highlight w:val="none"/>
                <w:lang w:val="en-US" w:eastAsia="zh-CN"/>
              </w:rPr>
              <w:t>12</w:t>
            </w:r>
          </w:p>
          <w:p w14:paraId="41A36CFC">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工作计划制定健全性</w:t>
            </w:r>
          </w:p>
        </w:tc>
        <w:tc>
          <w:tcPr>
            <w:tcW w:w="231" w:type="pct"/>
            <w:vAlign w:val="center"/>
          </w:tcPr>
          <w:p w14:paraId="0216A8F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健全</w:t>
            </w:r>
          </w:p>
        </w:tc>
        <w:tc>
          <w:tcPr>
            <w:tcW w:w="151" w:type="pct"/>
            <w:vAlign w:val="center"/>
          </w:tcPr>
          <w:p w14:paraId="53F13E7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8" w:type="pct"/>
            <w:vAlign w:val="center"/>
          </w:tcPr>
          <w:p w14:paraId="5F75E533">
            <w:pPr>
              <w:pStyle w:val="9"/>
              <w:rPr>
                <w:rFonts w:hint="eastAsia" w:ascii="仿宋_GB2312" w:hAnsi="仿宋_GB2312" w:eastAsia="仿宋_GB2312" w:cs="仿宋_GB2312"/>
                <w:sz w:val="18"/>
                <w:szCs w:val="18"/>
                <w:highlight w:val="none"/>
                <w:lang w:eastAsia="zh-CN"/>
              </w:rPr>
            </w:pPr>
          </w:p>
          <w:p w14:paraId="6282FE8A">
            <w:pPr>
              <w:pStyle w:val="9"/>
              <w:rPr>
                <w:rFonts w:hint="eastAsia" w:ascii="仿宋_GB2312" w:hAnsi="仿宋_GB2312" w:eastAsia="仿宋_GB2312" w:cs="仿宋_GB2312"/>
                <w:sz w:val="18"/>
                <w:szCs w:val="18"/>
                <w:highlight w:val="none"/>
                <w:lang w:eastAsia="zh-CN"/>
              </w:rPr>
            </w:pPr>
          </w:p>
          <w:p w14:paraId="08DB390C">
            <w:pPr>
              <w:pStyle w:val="9"/>
              <w:rPr>
                <w:rFonts w:hint="eastAsia" w:ascii="仿宋_GB2312" w:hAnsi="仿宋_GB2312" w:eastAsia="仿宋_GB2312" w:cs="仿宋_GB2312"/>
                <w:sz w:val="18"/>
                <w:szCs w:val="18"/>
                <w:highlight w:val="none"/>
                <w:lang w:eastAsia="zh-CN"/>
              </w:rPr>
            </w:pPr>
          </w:p>
          <w:p w14:paraId="4E0CED9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年度工作计划制定是否明确、具体、可操作，且与部门职能和中长期规划相匹配。</w:t>
            </w:r>
          </w:p>
        </w:tc>
        <w:tc>
          <w:tcPr>
            <w:tcW w:w="1608" w:type="pct"/>
            <w:vAlign w:val="center"/>
          </w:tcPr>
          <w:p w14:paraId="0CF0954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099FBFD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1.考察部门是否具有明确的年度工作计划，包括总体目标、实施内容、时间、资金、人员等，年度工作计划是否与部门中长期战略相衔接。</w:t>
            </w:r>
          </w:p>
          <w:p w14:paraId="769D30B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评分规则：每个要点执行情况分为达成、部分达成、未达成三档，分别按分值的100%-80%(含)、80%-60%(含)、60%-0%合理确定分值。</w:t>
            </w:r>
          </w:p>
        </w:tc>
        <w:tc>
          <w:tcPr>
            <w:tcW w:w="1240" w:type="pct"/>
            <w:vAlign w:val="center"/>
          </w:tcPr>
          <w:p w14:paraId="6464BFE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val="en-US" w:eastAsia="zh-CN"/>
              </w:rPr>
              <w:t>1</w:t>
            </w:r>
            <w:r>
              <w:rPr>
                <w:rFonts w:hint="eastAsia" w:ascii="仿宋_GB2312" w:hAnsi="仿宋_GB2312" w:eastAsia="仿宋_GB2312" w:cs="仿宋_GB2312"/>
                <w:sz w:val="18"/>
                <w:szCs w:val="18"/>
                <w:highlight w:val="none"/>
                <w:lang w:eastAsia="zh-CN"/>
              </w:rPr>
              <w:t>.部门具有明确的年度工作计划，包括总体目标、实施内容、时间、资金、人员等，年度工作计划与部门中长期战略相衔接，达成。</w:t>
            </w:r>
          </w:p>
        </w:tc>
        <w:tc>
          <w:tcPr>
            <w:tcW w:w="233" w:type="pct"/>
            <w:vAlign w:val="center"/>
          </w:tcPr>
          <w:p w14:paraId="4D946AF4">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val="en-US" w:eastAsia="zh-CN"/>
              </w:rPr>
              <w:t>1</w:t>
            </w:r>
          </w:p>
        </w:tc>
      </w:tr>
      <w:tr w14:paraId="6511D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jc w:val="center"/>
        </w:trPr>
        <w:tc>
          <w:tcPr>
            <w:tcW w:w="254" w:type="pct"/>
            <w:vMerge w:val="continue"/>
            <w:vAlign w:val="center"/>
          </w:tcPr>
          <w:p w14:paraId="7DAF046C">
            <w:pPr>
              <w:pStyle w:val="9"/>
              <w:jc w:val="center"/>
              <w:rPr>
                <w:rFonts w:hint="eastAsia" w:ascii="仿宋_GB2312" w:hAnsi="仿宋_GB2312" w:eastAsia="仿宋_GB2312" w:cs="仿宋_GB2312"/>
                <w:sz w:val="18"/>
                <w:szCs w:val="18"/>
                <w:highlight w:val="none"/>
              </w:rPr>
            </w:pPr>
          </w:p>
        </w:tc>
        <w:tc>
          <w:tcPr>
            <w:tcW w:w="297" w:type="pct"/>
            <w:vMerge w:val="restart"/>
            <w:vAlign w:val="center"/>
          </w:tcPr>
          <w:p w14:paraId="422821D8">
            <w:pPr>
              <w:pStyle w:val="9"/>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A</w:t>
            </w:r>
            <w:r>
              <w:rPr>
                <w:rFonts w:hint="eastAsia" w:ascii="仿宋_GB2312" w:hAnsi="仿宋_GB2312" w:eastAsia="仿宋_GB2312" w:cs="仿宋_GB2312"/>
                <w:sz w:val="18"/>
                <w:szCs w:val="18"/>
                <w:highlight w:val="none"/>
                <w:lang w:val="en-US" w:eastAsia="zh-CN"/>
              </w:rPr>
              <w:t>2</w:t>
            </w:r>
          </w:p>
          <w:p w14:paraId="58097341">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目标设定</w:t>
            </w:r>
          </w:p>
          <w:p w14:paraId="33F5BC9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w:t>
            </w:r>
          </w:p>
        </w:tc>
        <w:tc>
          <w:tcPr>
            <w:tcW w:w="284" w:type="pct"/>
            <w:vAlign w:val="center"/>
          </w:tcPr>
          <w:p w14:paraId="0A7FF1FA">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w:t>
            </w:r>
            <w:r>
              <w:rPr>
                <w:rFonts w:hint="eastAsia" w:ascii="仿宋_GB2312" w:hAnsi="仿宋_GB2312" w:eastAsia="仿宋_GB2312" w:cs="仿宋_GB2312"/>
                <w:sz w:val="18"/>
                <w:szCs w:val="18"/>
                <w:highlight w:val="none"/>
                <w:lang w:val="en-US" w:eastAsia="zh-CN"/>
              </w:rPr>
              <w:t>2</w:t>
            </w:r>
            <w:r>
              <w:rPr>
                <w:rFonts w:hint="eastAsia" w:ascii="仿宋_GB2312" w:hAnsi="仿宋_GB2312" w:eastAsia="仿宋_GB2312" w:cs="仿宋_GB2312"/>
                <w:sz w:val="18"/>
                <w:szCs w:val="18"/>
                <w:highlight w:val="none"/>
              </w:rPr>
              <w:t>1</w:t>
            </w:r>
          </w:p>
          <w:p w14:paraId="579E8ED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绩效目标</w:t>
            </w:r>
          </w:p>
          <w:p w14:paraId="44EE945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合理性</w:t>
            </w:r>
          </w:p>
        </w:tc>
        <w:tc>
          <w:tcPr>
            <w:tcW w:w="231" w:type="pct"/>
            <w:vAlign w:val="center"/>
          </w:tcPr>
          <w:p w14:paraId="7C18E541">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合理</w:t>
            </w:r>
          </w:p>
        </w:tc>
        <w:tc>
          <w:tcPr>
            <w:tcW w:w="151" w:type="pct"/>
            <w:vAlign w:val="center"/>
          </w:tcPr>
          <w:p w14:paraId="70B393C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8" w:type="pct"/>
            <w:vAlign w:val="center"/>
          </w:tcPr>
          <w:p w14:paraId="6EFB71BC">
            <w:pPr>
              <w:pStyle w:val="9"/>
              <w:rPr>
                <w:rFonts w:hint="eastAsia" w:ascii="仿宋_GB2312" w:hAnsi="仿宋_GB2312" w:eastAsia="仿宋_GB2312" w:cs="仿宋_GB2312"/>
                <w:sz w:val="18"/>
                <w:szCs w:val="18"/>
                <w:highlight w:val="none"/>
                <w:lang w:eastAsia="zh-CN"/>
              </w:rPr>
            </w:pPr>
          </w:p>
          <w:p w14:paraId="13A4418F">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部门所设立的整体绩效目标依据是否充分，是否符合客观实际。用以反映和评价部门整体绩效目标与部门履职、年度工作任务的相符性情况。</w:t>
            </w:r>
          </w:p>
        </w:tc>
        <w:tc>
          <w:tcPr>
            <w:tcW w:w="1608" w:type="pct"/>
            <w:vAlign w:val="center"/>
          </w:tcPr>
          <w:p w14:paraId="4F35304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26C494C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1.是否符合国家法律法规、国民经济和社会发展总体规划、部门“三定”方案确定的职责；</w:t>
            </w:r>
          </w:p>
          <w:p w14:paraId="2F1E3B1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2.是否符合部门制定的中长期规划和年度工作计划；</w:t>
            </w:r>
          </w:p>
          <w:p w14:paraId="4833868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3.是否与本年度部门预算资金相匹配。</w:t>
            </w:r>
          </w:p>
          <w:p w14:paraId="1BB752F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评分规则：以上评价要点各占1/3分值，每个要点执行情况分为达成、部分达成、未达成三档，分别按分值的100%-80%(含)、80%-60%(含)、60%-0%合理确定分值。</w:t>
            </w:r>
          </w:p>
        </w:tc>
        <w:tc>
          <w:tcPr>
            <w:tcW w:w="1240" w:type="pct"/>
            <w:vAlign w:val="center"/>
          </w:tcPr>
          <w:p w14:paraId="1BBC836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1.符合国家法律法规、国民经济和社会发展总体规划、部门“三定”方案确定的职责，达成；</w:t>
            </w:r>
          </w:p>
          <w:p w14:paraId="30D8BFA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2.符合部门制定的中长期规划和年度工作计划，达成；</w:t>
            </w:r>
          </w:p>
          <w:p w14:paraId="7DDF1BE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3.与本年度部门预算资金相匹配，达成。</w:t>
            </w:r>
          </w:p>
        </w:tc>
        <w:tc>
          <w:tcPr>
            <w:tcW w:w="233" w:type="pct"/>
            <w:vAlign w:val="center"/>
          </w:tcPr>
          <w:p w14:paraId="2C4AC89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r>
      <w:tr w14:paraId="52DBA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jc w:val="center"/>
        </w:trPr>
        <w:tc>
          <w:tcPr>
            <w:tcW w:w="254" w:type="pct"/>
            <w:vMerge w:val="continue"/>
            <w:vAlign w:val="center"/>
          </w:tcPr>
          <w:p w14:paraId="104B7875">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13D1998F">
            <w:pPr>
              <w:pStyle w:val="9"/>
              <w:jc w:val="center"/>
              <w:rPr>
                <w:rFonts w:hint="eastAsia" w:ascii="仿宋_GB2312" w:hAnsi="仿宋_GB2312" w:eastAsia="仿宋_GB2312" w:cs="仿宋_GB2312"/>
                <w:sz w:val="18"/>
                <w:szCs w:val="18"/>
                <w:highlight w:val="none"/>
              </w:rPr>
            </w:pPr>
          </w:p>
        </w:tc>
        <w:tc>
          <w:tcPr>
            <w:tcW w:w="284" w:type="pct"/>
            <w:vAlign w:val="center"/>
          </w:tcPr>
          <w:p w14:paraId="0951ACD0">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w:t>
            </w:r>
            <w:r>
              <w:rPr>
                <w:rFonts w:hint="eastAsia" w:ascii="仿宋_GB2312" w:hAnsi="仿宋_GB2312" w:eastAsia="仿宋_GB2312" w:cs="仿宋_GB2312"/>
                <w:sz w:val="18"/>
                <w:szCs w:val="18"/>
                <w:highlight w:val="none"/>
                <w:lang w:val="en-US" w:eastAsia="zh-CN"/>
              </w:rPr>
              <w:t>2</w:t>
            </w:r>
            <w:r>
              <w:rPr>
                <w:rFonts w:hint="eastAsia" w:ascii="仿宋_GB2312" w:hAnsi="仿宋_GB2312" w:eastAsia="仿宋_GB2312" w:cs="仿宋_GB2312"/>
                <w:sz w:val="18"/>
                <w:szCs w:val="18"/>
                <w:highlight w:val="none"/>
              </w:rPr>
              <w:t>2</w:t>
            </w:r>
          </w:p>
          <w:p w14:paraId="15535E7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绩效指标</w:t>
            </w:r>
          </w:p>
          <w:p w14:paraId="6A4371B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明确性</w:t>
            </w:r>
          </w:p>
        </w:tc>
        <w:tc>
          <w:tcPr>
            <w:tcW w:w="231" w:type="pct"/>
            <w:vAlign w:val="center"/>
          </w:tcPr>
          <w:p w14:paraId="36BF2BCE">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明确</w:t>
            </w:r>
          </w:p>
        </w:tc>
        <w:tc>
          <w:tcPr>
            <w:tcW w:w="151" w:type="pct"/>
            <w:vAlign w:val="center"/>
          </w:tcPr>
          <w:p w14:paraId="1AABDD8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8" w:type="pct"/>
            <w:vAlign w:val="center"/>
          </w:tcPr>
          <w:p w14:paraId="0B0CCE04">
            <w:pPr>
              <w:pStyle w:val="9"/>
              <w:rPr>
                <w:rFonts w:hint="eastAsia" w:ascii="仿宋_GB2312" w:hAnsi="仿宋_GB2312" w:eastAsia="仿宋_GB2312" w:cs="仿宋_GB2312"/>
                <w:sz w:val="18"/>
                <w:szCs w:val="18"/>
                <w:highlight w:val="none"/>
                <w:lang w:eastAsia="zh-CN"/>
              </w:rPr>
            </w:pPr>
          </w:p>
          <w:p w14:paraId="44CA0DAC">
            <w:pPr>
              <w:pStyle w:val="9"/>
              <w:rPr>
                <w:rFonts w:hint="eastAsia" w:ascii="仿宋_GB2312" w:hAnsi="仿宋_GB2312" w:eastAsia="仿宋_GB2312" w:cs="仿宋_GB2312"/>
                <w:sz w:val="18"/>
                <w:szCs w:val="18"/>
                <w:highlight w:val="none"/>
                <w:lang w:eastAsia="zh-CN"/>
              </w:rPr>
            </w:pPr>
          </w:p>
          <w:p w14:paraId="73DF3C9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部门所设立的整体绩效指标是否清晰、细化、可侧量等，用以反映和评价部门绩效目标设置的明细化情况。</w:t>
            </w:r>
          </w:p>
        </w:tc>
        <w:tc>
          <w:tcPr>
            <w:tcW w:w="1608" w:type="pct"/>
            <w:vAlign w:val="center"/>
          </w:tcPr>
          <w:p w14:paraId="4FE3FB9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1C9EFA2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1.是否将部门整体预算绩效目标细化分解为具体的重点工作任务；</w:t>
            </w:r>
          </w:p>
          <w:p w14:paraId="13C1B63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2.部门整体及项目的绩效指标是否清晰，指标值是否量化、可衡量；</w:t>
            </w:r>
          </w:p>
          <w:p w14:paraId="3FA234B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3.是否突出核心绩效指标。</w:t>
            </w:r>
          </w:p>
          <w:p w14:paraId="2D11E24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评分规则：以上评价要点各占1/3分值，每个要点执行情况分为达成、部分达成、未达成三档，分别按分值的100%-80%(含)、80%-60%(含)、60%-0%合理确定分值。</w:t>
            </w:r>
          </w:p>
        </w:tc>
        <w:tc>
          <w:tcPr>
            <w:tcW w:w="1240" w:type="pct"/>
            <w:vAlign w:val="center"/>
          </w:tcPr>
          <w:p w14:paraId="7468C6E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1.部门整体预算绩效目标细化分解为具体的重点工作任务，达成；</w:t>
            </w:r>
          </w:p>
          <w:p w14:paraId="1063B98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2.部门整体及项目的绩效指标清晰，指标值可量化可衡量，达成；</w:t>
            </w:r>
          </w:p>
          <w:p w14:paraId="521DDBA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3.突出核心绩效指标，达成。</w:t>
            </w:r>
          </w:p>
        </w:tc>
        <w:tc>
          <w:tcPr>
            <w:tcW w:w="233" w:type="pct"/>
            <w:vAlign w:val="center"/>
          </w:tcPr>
          <w:p w14:paraId="54AE65CB">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val="en-US" w:eastAsia="zh-CN"/>
              </w:rPr>
              <w:t>1</w:t>
            </w:r>
          </w:p>
        </w:tc>
      </w:tr>
      <w:tr w14:paraId="426B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jc w:val="center"/>
        </w:trPr>
        <w:tc>
          <w:tcPr>
            <w:tcW w:w="254" w:type="pct"/>
            <w:vMerge w:val="continue"/>
            <w:vAlign w:val="center"/>
          </w:tcPr>
          <w:p w14:paraId="042DAF34">
            <w:pPr>
              <w:pStyle w:val="9"/>
              <w:jc w:val="center"/>
              <w:rPr>
                <w:rFonts w:hint="eastAsia" w:ascii="仿宋_GB2312" w:hAnsi="仿宋_GB2312" w:eastAsia="仿宋_GB2312" w:cs="仿宋_GB2312"/>
                <w:sz w:val="18"/>
                <w:szCs w:val="18"/>
                <w:highlight w:val="none"/>
              </w:rPr>
            </w:pPr>
          </w:p>
        </w:tc>
        <w:tc>
          <w:tcPr>
            <w:tcW w:w="297" w:type="pct"/>
            <w:vMerge w:val="restart"/>
            <w:tcBorders>
              <w:bottom w:val="nil"/>
            </w:tcBorders>
            <w:vAlign w:val="center"/>
          </w:tcPr>
          <w:p w14:paraId="1ECFE448">
            <w:pPr>
              <w:pStyle w:val="9"/>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A</w:t>
            </w:r>
            <w:r>
              <w:rPr>
                <w:rFonts w:hint="eastAsia" w:ascii="仿宋_GB2312" w:hAnsi="仿宋_GB2312" w:eastAsia="仿宋_GB2312" w:cs="仿宋_GB2312"/>
                <w:sz w:val="18"/>
                <w:szCs w:val="18"/>
                <w:highlight w:val="none"/>
                <w:lang w:val="en-US" w:eastAsia="zh-CN"/>
              </w:rPr>
              <w:t>3</w:t>
            </w:r>
          </w:p>
          <w:p w14:paraId="545F009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预算编制</w:t>
            </w:r>
          </w:p>
          <w:p w14:paraId="6634923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(2)</w:t>
            </w:r>
          </w:p>
        </w:tc>
        <w:tc>
          <w:tcPr>
            <w:tcW w:w="284" w:type="pct"/>
            <w:vAlign w:val="center"/>
          </w:tcPr>
          <w:p w14:paraId="2F42973E">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w:t>
            </w:r>
            <w:r>
              <w:rPr>
                <w:rFonts w:hint="eastAsia" w:ascii="仿宋_GB2312" w:hAnsi="仿宋_GB2312" w:eastAsia="仿宋_GB2312" w:cs="仿宋_GB2312"/>
                <w:sz w:val="18"/>
                <w:szCs w:val="18"/>
                <w:highlight w:val="none"/>
                <w:lang w:val="en-US" w:eastAsia="zh-CN"/>
              </w:rPr>
              <w:t>3</w:t>
            </w:r>
            <w:r>
              <w:rPr>
                <w:rFonts w:hint="eastAsia" w:ascii="仿宋_GB2312" w:hAnsi="仿宋_GB2312" w:eastAsia="仿宋_GB2312" w:cs="仿宋_GB2312"/>
                <w:sz w:val="18"/>
                <w:szCs w:val="18"/>
                <w:highlight w:val="none"/>
              </w:rPr>
              <w:t>1</w:t>
            </w:r>
          </w:p>
          <w:p w14:paraId="0F122F1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预算编制科学性</w:t>
            </w:r>
          </w:p>
        </w:tc>
        <w:tc>
          <w:tcPr>
            <w:tcW w:w="231" w:type="pct"/>
            <w:vAlign w:val="center"/>
          </w:tcPr>
          <w:p w14:paraId="05D2DD1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科学</w:t>
            </w:r>
          </w:p>
        </w:tc>
        <w:tc>
          <w:tcPr>
            <w:tcW w:w="151" w:type="pct"/>
            <w:vAlign w:val="center"/>
          </w:tcPr>
          <w:p w14:paraId="014A575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8" w:type="pct"/>
            <w:vAlign w:val="center"/>
          </w:tcPr>
          <w:p w14:paraId="5E5D2D2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部门预算编制是否经过科学论证、有明确标准，资金分配是否公平合理、资金额度与年度目标是否相适应，有无重复交叉，重点支出是否有保障，用以反映和考核部门整体预算编制的科学性、合理性情况</w:t>
            </w:r>
          </w:p>
        </w:tc>
        <w:tc>
          <w:tcPr>
            <w:tcW w:w="1608" w:type="pct"/>
            <w:vAlign w:val="center"/>
          </w:tcPr>
          <w:p w14:paraId="1612FCB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180F733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1.预算编制的基本信息内容是否真实、完整、准确，基本支出预算是否按照规定标准编制；项目预算测算依据是否充分，资金分配是否公平合理，是否与年度目标相匹配；</w:t>
            </w:r>
          </w:p>
          <w:p w14:paraId="15EFA08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2.重点项目预算是否有保障；部门内容项目之间是否存在重复交叉，与其他部门项目是否存在重复交叉。</w:t>
            </w:r>
          </w:p>
          <w:p w14:paraId="20D0B38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评分规则：以上评价要点各占1/2权重，每个要点执行情况分为达成、部分达成、未达成三档，按100%-80%(含)、80%-60%(含)、60%-0%合理评分。</w:t>
            </w:r>
          </w:p>
        </w:tc>
        <w:tc>
          <w:tcPr>
            <w:tcW w:w="1240" w:type="pct"/>
            <w:vAlign w:val="center"/>
          </w:tcPr>
          <w:p w14:paraId="3F86762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1.预算编制的基本信息内容真实、完整，准确，基本支出预算按照规定标准编制；项目预算测算依据充分，资金分配公平合理，与年度目标相匹配，达成；</w:t>
            </w:r>
          </w:p>
          <w:p w14:paraId="492ADB0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2.重点项目预算有保障；部门内容项目之间不存在重复交叉，与其他部门项目不存在重复交叉，达成。</w:t>
            </w:r>
          </w:p>
        </w:tc>
        <w:tc>
          <w:tcPr>
            <w:tcW w:w="233" w:type="pct"/>
            <w:vAlign w:val="center"/>
          </w:tcPr>
          <w:p w14:paraId="34F1790E">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w:t>
            </w:r>
          </w:p>
        </w:tc>
      </w:tr>
      <w:tr w14:paraId="1E3F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atLeast"/>
          <w:jc w:val="center"/>
        </w:trPr>
        <w:tc>
          <w:tcPr>
            <w:tcW w:w="254" w:type="pct"/>
            <w:vMerge w:val="continue"/>
            <w:vAlign w:val="center"/>
          </w:tcPr>
          <w:p w14:paraId="249527C4">
            <w:pPr>
              <w:pStyle w:val="9"/>
              <w:jc w:val="center"/>
              <w:rPr>
                <w:rFonts w:hint="eastAsia" w:ascii="仿宋_GB2312" w:hAnsi="仿宋_GB2312" w:eastAsia="仿宋_GB2312" w:cs="仿宋_GB2312"/>
                <w:sz w:val="18"/>
                <w:szCs w:val="18"/>
                <w:highlight w:val="none"/>
              </w:rPr>
            </w:pPr>
          </w:p>
        </w:tc>
        <w:tc>
          <w:tcPr>
            <w:tcW w:w="297" w:type="pct"/>
            <w:vMerge w:val="continue"/>
            <w:tcBorders>
              <w:top w:val="nil"/>
            </w:tcBorders>
            <w:vAlign w:val="center"/>
          </w:tcPr>
          <w:p w14:paraId="60F904C3">
            <w:pPr>
              <w:pStyle w:val="9"/>
              <w:jc w:val="center"/>
              <w:rPr>
                <w:rFonts w:hint="eastAsia" w:ascii="仿宋_GB2312" w:hAnsi="仿宋_GB2312" w:eastAsia="仿宋_GB2312" w:cs="仿宋_GB2312"/>
                <w:sz w:val="18"/>
                <w:szCs w:val="18"/>
                <w:highlight w:val="none"/>
              </w:rPr>
            </w:pPr>
          </w:p>
        </w:tc>
        <w:tc>
          <w:tcPr>
            <w:tcW w:w="284" w:type="pct"/>
            <w:vAlign w:val="center"/>
          </w:tcPr>
          <w:p w14:paraId="39C71B5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w:t>
            </w:r>
            <w:r>
              <w:rPr>
                <w:rFonts w:hint="eastAsia" w:ascii="仿宋_GB2312" w:hAnsi="仿宋_GB2312" w:eastAsia="仿宋_GB2312" w:cs="仿宋_GB2312"/>
                <w:sz w:val="18"/>
                <w:szCs w:val="18"/>
                <w:highlight w:val="none"/>
                <w:lang w:val="en-US" w:eastAsia="zh-CN"/>
              </w:rPr>
              <w:t>3</w:t>
            </w:r>
            <w:r>
              <w:rPr>
                <w:rFonts w:hint="eastAsia" w:ascii="仿宋_GB2312" w:hAnsi="仿宋_GB2312" w:eastAsia="仿宋_GB2312" w:cs="仿宋_GB2312"/>
                <w:sz w:val="18"/>
                <w:szCs w:val="18"/>
                <w:highlight w:val="none"/>
              </w:rPr>
              <w:t>2</w:t>
            </w:r>
          </w:p>
          <w:p w14:paraId="428409E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预算编制规范性</w:t>
            </w:r>
          </w:p>
        </w:tc>
        <w:tc>
          <w:tcPr>
            <w:tcW w:w="231" w:type="pct"/>
            <w:vAlign w:val="center"/>
          </w:tcPr>
          <w:p w14:paraId="32555C7C">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规范</w:t>
            </w:r>
          </w:p>
        </w:tc>
        <w:tc>
          <w:tcPr>
            <w:tcW w:w="151" w:type="pct"/>
            <w:vAlign w:val="center"/>
          </w:tcPr>
          <w:p w14:paraId="3033F21E">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698" w:type="pct"/>
            <w:vAlign w:val="center"/>
          </w:tcPr>
          <w:p w14:paraId="751CDC4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部门整体预算编制是否严格按照时间和流程要求执行，材料是否符合要求，用以反映和考核部门整体预算编制的规范化情况。</w:t>
            </w:r>
          </w:p>
        </w:tc>
        <w:tc>
          <w:tcPr>
            <w:tcW w:w="1608" w:type="pct"/>
            <w:vAlign w:val="center"/>
          </w:tcPr>
          <w:p w14:paraId="2FE6D8B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713938B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1.部门是否编制了中期财政规划，是否完整规范，严格按照规定时间和流程编制预算；</w:t>
            </w:r>
          </w:p>
          <w:p w14:paraId="4E45080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2.各项目设立依据是否充分，是否按照规定的程序申请设立，事前是否经过必要的可行性研究、专家论证、风险评古、绩效评估、集体决策等；</w:t>
            </w:r>
          </w:p>
          <w:p w14:paraId="05AF2B0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3.审批文件、材料是否符合相关要求。</w:t>
            </w:r>
          </w:p>
          <w:p w14:paraId="65C2827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评分规则：以上评价要点各占1/3权重，每个要点执行情况分为达成、部分达成、未达成三档，按100%-80%(含)、80%-60%(含)、60%-0%合理评分。</w:t>
            </w:r>
          </w:p>
        </w:tc>
        <w:tc>
          <w:tcPr>
            <w:tcW w:w="1240" w:type="pct"/>
            <w:vAlign w:val="center"/>
          </w:tcPr>
          <w:p w14:paraId="48B3E8F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1.部门编制了中期财政规划，完整规范，严格按照规定时间和流程编制预算，达成；</w:t>
            </w:r>
          </w:p>
          <w:p w14:paraId="2B61C52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2.各项目设立依据充分，按照规定的程序申请设立，事前经过必要的可行性研究、专家论证、风险评估、绩效评估、集体决策等，达成；</w:t>
            </w:r>
          </w:p>
          <w:p w14:paraId="1A53C32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3.审批文件、材料符合相关要求，达成。</w:t>
            </w:r>
          </w:p>
        </w:tc>
        <w:tc>
          <w:tcPr>
            <w:tcW w:w="233" w:type="pct"/>
            <w:vAlign w:val="center"/>
          </w:tcPr>
          <w:p w14:paraId="171CA61D">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w:t>
            </w:r>
          </w:p>
        </w:tc>
      </w:tr>
      <w:tr w14:paraId="6C1A9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jc w:val="center"/>
        </w:trPr>
        <w:tc>
          <w:tcPr>
            <w:tcW w:w="254" w:type="pct"/>
            <w:vMerge w:val="restart"/>
            <w:vAlign w:val="center"/>
          </w:tcPr>
          <w:p w14:paraId="7865F501">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B过程(28)</w:t>
            </w:r>
          </w:p>
        </w:tc>
        <w:tc>
          <w:tcPr>
            <w:tcW w:w="297" w:type="pct"/>
            <w:vMerge w:val="restart"/>
            <w:tcBorders>
              <w:top w:val="nil"/>
            </w:tcBorders>
            <w:vAlign w:val="center"/>
          </w:tcPr>
          <w:p w14:paraId="7C646F4C">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w:t>
            </w:r>
          </w:p>
          <w:p w14:paraId="432C331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预算执行</w:t>
            </w:r>
          </w:p>
          <w:p w14:paraId="222DCEFF">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(9)</w:t>
            </w:r>
          </w:p>
        </w:tc>
        <w:tc>
          <w:tcPr>
            <w:tcW w:w="284" w:type="pct"/>
            <w:shd w:val="clear" w:color="auto" w:fill="auto"/>
            <w:vAlign w:val="center"/>
          </w:tcPr>
          <w:p w14:paraId="375097E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B11</w:t>
            </w:r>
          </w:p>
          <w:p w14:paraId="29FEA22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预算调整率</w:t>
            </w:r>
          </w:p>
        </w:tc>
        <w:tc>
          <w:tcPr>
            <w:tcW w:w="231" w:type="pct"/>
            <w:shd w:val="clear" w:color="auto" w:fill="auto"/>
            <w:vAlign w:val="center"/>
          </w:tcPr>
          <w:p w14:paraId="357B2631">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0</w:t>
            </w:r>
          </w:p>
        </w:tc>
        <w:tc>
          <w:tcPr>
            <w:tcW w:w="151" w:type="pct"/>
            <w:shd w:val="clear" w:color="auto" w:fill="auto"/>
            <w:vAlign w:val="center"/>
          </w:tcPr>
          <w:p w14:paraId="54B2F8BD">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22BDE1D6">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部门本年度预算调整数与预算数的比率，用以反映和考核部门预算的调整程度，</w:t>
            </w:r>
          </w:p>
        </w:tc>
        <w:tc>
          <w:tcPr>
            <w:tcW w:w="1608" w:type="pct"/>
            <w:shd w:val="clear" w:color="auto" w:fill="auto"/>
            <w:vAlign w:val="center"/>
          </w:tcPr>
          <w:p w14:paraId="1F7FCFE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预算调整率=(预算调整数/预算数)×100%。预算调整数：部门在本年度内涉及预算的追加、追减或结构调整的资金总和(因落实国家政策，发生不可抗力、上级部门或本级党委政府临时交办而产生的调整除外)。</w:t>
            </w:r>
          </w:p>
          <w:p w14:paraId="53D36E7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评分规则：1.比率=0%,得满分；2.20%&lt;比率&lt;0%,每增加1%,扣5%的权重分，扣完为止。</w:t>
            </w:r>
          </w:p>
        </w:tc>
        <w:tc>
          <w:tcPr>
            <w:tcW w:w="1240" w:type="pct"/>
            <w:shd w:val="clear" w:color="auto" w:fill="auto"/>
            <w:vAlign w:val="center"/>
          </w:tcPr>
          <w:p w14:paraId="722734CE">
            <w:pPr>
              <w:pStyle w:val="9"/>
              <w:rPr>
                <w:rFonts w:hint="eastAsia" w:ascii="仿宋_GB2312" w:hAnsi="仿宋_GB2312" w:eastAsia="仿宋_GB2312" w:cs="仿宋_GB2312"/>
                <w:sz w:val="18"/>
                <w:szCs w:val="18"/>
                <w:highlight w:val="none"/>
                <w:lang w:eastAsia="zh-CN"/>
              </w:rPr>
            </w:pPr>
          </w:p>
          <w:p w14:paraId="51A7A9E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预算调整率=[预算调整数</w:t>
            </w:r>
            <w:r>
              <w:rPr>
                <w:rFonts w:hint="eastAsia" w:ascii="仿宋_GB2312" w:hAnsi="仿宋_GB2312" w:eastAsia="仿宋_GB2312" w:cs="仿宋_GB2312"/>
                <w:sz w:val="18"/>
                <w:szCs w:val="18"/>
                <w:highlight w:val="none"/>
                <w:lang w:val="en-US" w:eastAsia="zh-CN"/>
              </w:rPr>
              <w:t>5.43</w:t>
            </w:r>
            <w:r>
              <w:rPr>
                <w:rFonts w:hint="eastAsia" w:ascii="仿宋_GB2312" w:hAnsi="仿宋_GB2312" w:eastAsia="仿宋_GB2312" w:cs="仿宋_GB2312"/>
                <w:sz w:val="18"/>
                <w:szCs w:val="18"/>
                <w:highlight w:val="none"/>
                <w:lang w:eastAsia="zh-CN"/>
              </w:rPr>
              <w:t>万元/预算数</w:t>
            </w:r>
            <w:r>
              <w:rPr>
                <w:rFonts w:hint="eastAsia" w:ascii="仿宋_GB2312" w:hAnsi="仿宋_GB2312" w:eastAsia="仿宋_GB2312" w:cs="仿宋_GB2312"/>
                <w:sz w:val="18"/>
                <w:szCs w:val="18"/>
                <w:highlight w:val="none"/>
                <w:lang w:val="en-US" w:eastAsia="zh-CN"/>
              </w:rPr>
              <w:t>1814.25</w:t>
            </w:r>
            <w:r>
              <w:rPr>
                <w:rFonts w:hint="eastAsia" w:ascii="仿宋_GB2312" w:hAnsi="仿宋_GB2312" w:eastAsia="仿宋_GB2312" w:cs="仿宋_GB2312"/>
                <w:sz w:val="18"/>
                <w:szCs w:val="18"/>
                <w:highlight w:val="none"/>
                <w:lang w:eastAsia="zh-CN"/>
              </w:rPr>
              <w:t>万元]×100%=</w:t>
            </w:r>
            <w:r>
              <w:rPr>
                <w:rFonts w:hint="eastAsia" w:ascii="仿宋_GB2312" w:hAnsi="仿宋_GB2312" w:eastAsia="仿宋_GB2312" w:cs="仿宋_GB2312"/>
                <w:sz w:val="18"/>
                <w:szCs w:val="18"/>
                <w:highlight w:val="none"/>
                <w:lang w:val="en-US" w:eastAsia="zh-CN"/>
              </w:rPr>
              <w:t>0.29</w:t>
            </w:r>
            <w:r>
              <w:rPr>
                <w:rFonts w:hint="eastAsia" w:ascii="仿宋_GB2312" w:hAnsi="仿宋_GB2312" w:eastAsia="仿宋_GB2312" w:cs="仿宋_GB2312"/>
                <w:sz w:val="18"/>
                <w:szCs w:val="18"/>
                <w:highlight w:val="none"/>
                <w:lang w:eastAsia="zh-CN"/>
              </w:rPr>
              <w:t>%,依据评分标准，扣0.</w:t>
            </w:r>
            <w:r>
              <w:rPr>
                <w:rFonts w:hint="eastAsia" w:ascii="仿宋_GB2312" w:hAnsi="仿宋_GB2312" w:eastAsia="仿宋_GB2312" w:cs="仿宋_GB2312"/>
                <w:sz w:val="18"/>
                <w:szCs w:val="18"/>
                <w:highlight w:val="none"/>
                <w:lang w:val="en-US" w:eastAsia="zh-CN"/>
              </w:rPr>
              <w:t>01</w:t>
            </w:r>
            <w:r>
              <w:rPr>
                <w:rFonts w:hint="eastAsia" w:ascii="仿宋_GB2312" w:hAnsi="仿宋_GB2312" w:eastAsia="仿宋_GB2312" w:cs="仿宋_GB2312"/>
                <w:sz w:val="18"/>
                <w:szCs w:val="18"/>
                <w:highlight w:val="none"/>
                <w:lang w:eastAsia="zh-CN"/>
              </w:rPr>
              <w:t>分。</w:t>
            </w:r>
          </w:p>
          <w:p w14:paraId="6C8E1C1F">
            <w:pPr>
              <w:pStyle w:val="9"/>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eastAsia="zh-CN"/>
              </w:rPr>
              <w:t>扣分说明：本年度追加预算</w:t>
            </w:r>
            <w:r>
              <w:rPr>
                <w:rFonts w:hint="eastAsia" w:ascii="仿宋_GB2312" w:hAnsi="仿宋_GB2312" w:eastAsia="仿宋_GB2312" w:cs="仿宋_GB2312"/>
                <w:sz w:val="18"/>
                <w:szCs w:val="18"/>
                <w:highlight w:val="none"/>
                <w:lang w:val="en-US" w:eastAsia="zh-CN"/>
              </w:rPr>
              <w:t>5.43万元，扣0.01分。</w:t>
            </w:r>
          </w:p>
        </w:tc>
        <w:tc>
          <w:tcPr>
            <w:tcW w:w="233" w:type="pct"/>
            <w:shd w:val="clear" w:color="auto" w:fill="auto"/>
            <w:vAlign w:val="center"/>
          </w:tcPr>
          <w:p w14:paraId="3EDE1553">
            <w:pPr>
              <w:pStyle w:val="9"/>
              <w:jc w:val="center"/>
              <w:rPr>
                <w:rFonts w:hint="default"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0.99</w:t>
            </w:r>
          </w:p>
        </w:tc>
      </w:tr>
      <w:tr w14:paraId="6C917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jc w:val="center"/>
        </w:trPr>
        <w:tc>
          <w:tcPr>
            <w:tcW w:w="254" w:type="pct"/>
            <w:vMerge w:val="continue"/>
            <w:vAlign w:val="center"/>
          </w:tcPr>
          <w:p w14:paraId="1D575AE0">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7E2C3C97">
            <w:pPr>
              <w:pStyle w:val="9"/>
              <w:jc w:val="center"/>
              <w:rPr>
                <w:rFonts w:hint="eastAsia" w:ascii="仿宋_GB2312" w:hAnsi="仿宋_GB2312" w:eastAsia="仿宋_GB2312" w:cs="仿宋_GB2312"/>
                <w:sz w:val="18"/>
                <w:szCs w:val="18"/>
                <w:highlight w:val="none"/>
              </w:rPr>
            </w:pPr>
          </w:p>
        </w:tc>
        <w:tc>
          <w:tcPr>
            <w:tcW w:w="284" w:type="pct"/>
            <w:shd w:val="clear" w:color="auto" w:fill="auto"/>
            <w:vAlign w:val="center"/>
          </w:tcPr>
          <w:p w14:paraId="7706983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B12</w:t>
            </w:r>
          </w:p>
          <w:p w14:paraId="58E20E5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支付进度符合率</w:t>
            </w:r>
          </w:p>
        </w:tc>
        <w:tc>
          <w:tcPr>
            <w:tcW w:w="231" w:type="pct"/>
            <w:shd w:val="clear" w:color="auto" w:fill="auto"/>
            <w:vAlign w:val="center"/>
          </w:tcPr>
          <w:p w14:paraId="00869387">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rPr>
              <w:t>100%</w:t>
            </w:r>
          </w:p>
        </w:tc>
        <w:tc>
          <w:tcPr>
            <w:tcW w:w="151" w:type="pct"/>
            <w:shd w:val="clear" w:color="auto" w:fill="auto"/>
            <w:vAlign w:val="center"/>
          </w:tcPr>
          <w:p w14:paraId="36FAF4B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0097FFF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部门实际支付进度与既定支付进度的比率，用以反映和考核部门)预算执行的及时性和均衡性程度</w:t>
            </w:r>
          </w:p>
        </w:tc>
        <w:tc>
          <w:tcPr>
            <w:tcW w:w="1608" w:type="pct"/>
            <w:shd w:val="clear" w:color="auto" w:fill="auto"/>
            <w:vAlign w:val="center"/>
          </w:tcPr>
          <w:p w14:paraId="064BECC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支付进度符合率=(实际支付进度/计划支付进度)×100%。实际支付进度：部门在某一时点的支出数与年度预算数的比率。计划支付进度：由部门在申报部门整体绩效目标时确定的支付进度(比率)。</w:t>
            </w:r>
          </w:p>
          <w:p w14:paraId="13349A4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评分规则：1.比率&gt;100%,得满分；2.比率&lt;100%,每减少1%,扣2%的权重分，扣完为止。</w:t>
            </w:r>
          </w:p>
        </w:tc>
        <w:tc>
          <w:tcPr>
            <w:tcW w:w="1240" w:type="pct"/>
            <w:shd w:val="clear" w:color="auto" w:fill="auto"/>
            <w:vAlign w:val="center"/>
          </w:tcPr>
          <w:p w14:paraId="18A06FB5">
            <w:pPr>
              <w:pStyle w:val="9"/>
              <w:rPr>
                <w:rFonts w:hint="eastAsia" w:ascii="仿宋_GB2312" w:hAnsi="仿宋_GB2312" w:eastAsia="仿宋_GB2312" w:cs="仿宋_GB2312"/>
                <w:sz w:val="18"/>
                <w:szCs w:val="18"/>
                <w:highlight w:val="none"/>
                <w:lang w:eastAsia="zh-CN"/>
              </w:rPr>
            </w:pPr>
          </w:p>
          <w:p w14:paraId="76988F9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支付进度符合率=(实际支付进度</w:t>
            </w:r>
            <w:r>
              <w:rPr>
                <w:rFonts w:hint="eastAsia" w:ascii="仿宋_GB2312" w:hAnsi="仿宋_GB2312" w:eastAsia="仿宋_GB2312" w:cs="仿宋_GB2312"/>
                <w:sz w:val="18"/>
                <w:szCs w:val="18"/>
                <w:highlight w:val="none"/>
                <w:lang w:val="en-US" w:eastAsia="zh-CN"/>
              </w:rPr>
              <w:t>1819.68</w:t>
            </w:r>
            <w:r>
              <w:rPr>
                <w:rFonts w:hint="eastAsia" w:ascii="仿宋_GB2312" w:hAnsi="仿宋_GB2312" w:eastAsia="仿宋_GB2312" w:cs="仿宋_GB2312"/>
                <w:sz w:val="18"/>
                <w:szCs w:val="18"/>
                <w:highlight w:val="none"/>
                <w:lang w:eastAsia="zh-CN"/>
              </w:rPr>
              <w:t>万元/计划支付进度</w:t>
            </w:r>
            <w:r>
              <w:rPr>
                <w:rFonts w:hint="eastAsia" w:ascii="仿宋_GB2312" w:hAnsi="仿宋_GB2312" w:eastAsia="仿宋_GB2312" w:cs="仿宋_GB2312"/>
                <w:sz w:val="18"/>
                <w:szCs w:val="18"/>
                <w:highlight w:val="none"/>
                <w:lang w:val="en-US" w:eastAsia="zh-CN"/>
              </w:rPr>
              <w:t>1819.68</w:t>
            </w:r>
            <w:r>
              <w:rPr>
                <w:rFonts w:hint="eastAsia" w:ascii="仿宋_GB2312" w:hAnsi="仿宋_GB2312" w:eastAsia="仿宋_GB2312" w:cs="仿宋_GB2312"/>
                <w:sz w:val="18"/>
                <w:szCs w:val="18"/>
                <w:highlight w:val="none"/>
                <w:lang w:eastAsia="zh-CN"/>
              </w:rPr>
              <w:t>万元)×100%=100%。</w:t>
            </w:r>
          </w:p>
        </w:tc>
        <w:tc>
          <w:tcPr>
            <w:tcW w:w="233" w:type="pct"/>
            <w:shd w:val="clear" w:color="auto" w:fill="auto"/>
            <w:vAlign w:val="center"/>
          </w:tcPr>
          <w:p w14:paraId="700A2624">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1C27C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jc w:val="center"/>
        </w:trPr>
        <w:tc>
          <w:tcPr>
            <w:tcW w:w="254" w:type="pct"/>
            <w:vMerge w:val="continue"/>
            <w:vAlign w:val="center"/>
          </w:tcPr>
          <w:p w14:paraId="4F338BF7">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59511F62">
            <w:pPr>
              <w:pStyle w:val="9"/>
              <w:jc w:val="center"/>
              <w:rPr>
                <w:rFonts w:hint="eastAsia" w:ascii="仿宋_GB2312" w:hAnsi="仿宋_GB2312" w:eastAsia="仿宋_GB2312" w:cs="仿宋_GB2312"/>
                <w:sz w:val="18"/>
                <w:szCs w:val="18"/>
                <w:highlight w:val="none"/>
              </w:rPr>
            </w:pPr>
          </w:p>
        </w:tc>
        <w:tc>
          <w:tcPr>
            <w:tcW w:w="284" w:type="pct"/>
            <w:shd w:val="clear" w:color="auto" w:fill="auto"/>
            <w:vAlign w:val="center"/>
          </w:tcPr>
          <w:p w14:paraId="45B2BDE0">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B13</w:t>
            </w:r>
          </w:p>
          <w:p w14:paraId="5B41A6EF">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预算执行率</w:t>
            </w:r>
          </w:p>
        </w:tc>
        <w:tc>
          <w:tcPr>
            <w:tcW w:w="231" w:type="pct"/>
            <w:shd w:val="clear" w:color="auto" w:fill="auto"/>
            <w:vAlign w:val="center"/>
          </w:tcPr>
          <w:p w14:paraId="02B897C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lang w:eastAsia="zh-CN"/>
              </w:rPr>
              <w:t>1</w:t>
            </w:r>
            <w:r>
              <w:rPr>
                <w:rFonts w:hint="eastAsia" w:ascii="仿宋_GB2312" w:hAnsi="仿宋_GB2312" w:eastAsia="仿宋_GB2312" w:cs="仿宋_GB2312"/>
                <w:sz w:val="18"/>
                <w:szCs w:val="18"/>
                <w:highlight w:val="none"/>
              </w:rPr>
              <w:t>00%</w:t>
            </w:r>
          </w:p>
        </w:tc>
        <w:tc>
          <w:tcPr>
            <w:tcW w:w="151" w:type="pct"/>
            <w:shd w:val="clear" w:color="auto" w:fill="auto"/>
            <w:vAlign w:val="center"/>
          </w:tcPr>
          <w:p w14:paraId="6E8C7A6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2</w:t>
            </w:r>
          </w:p>
        </w:tc>
        <w:tc>
          <w:tcPr>
            <w:tcW w:w="698" w:type="pct"/>
            <w:shd w:val="clear" w:color="auto" w:fill="auto"/>
            <w:vAlign w:val="center"/>
          </w:tcPr>
          <w:p w14:paraId="3EEB8A3B">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部门本年度预算执行数与调整预算数的比率，用以反映和考核部门预算完成程度。</w:t>
            </w:r>
          </w:p>
        </w:tc>
        <w:tc>
          <w:tcPr>
            <w:tcW w:w="1608" w:type="pct"/>
            <w:shd w:val="clear" w:color="auto" w:fill="auto"/>
            <w:vAlign w:val="center"/>
          </w:tcPr>
          <w:p w14:paraId="5D320B5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1859F12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1.基本支出预算执行率=(基本支出预算执行数/基本支出调整预算数)×100%；</w:t>
            </w:r>
          </w:p>
          <w:p w14:paraId="1E9040C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2.项目支出预算执行率=(项目支出预算执行数/项目支出调整预算数)x100%。</w:t>
            </w:r>
          </w:p>
          <w:p w14:paraId="7E294B1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评分规则：以上评价要点各占1/2权重，得分=(基本支出预算执行率+项目支出预算执行率)×50%×分值。</w:t>
            </w:r>
          </w:p>
        </w:tc>
        <w:tc>
          <w:tcPr>
            <w:tcW w:w="1240" w:type="pct"/>
            <w:shd w:val="clear" w:color="auto" w:fill="auto"/>
            <w:vAlign w:val="center"/>
          </w:tcPr>
          <w:p w14:paraId="4A662F2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基本支出预算执行率=(基本支出预算执行数</w:t>
            </w:r>
            <w:r>
              <w:rPr>
                <w:rFonts w:hint="eastAsia" w:ascii="仿宋_GB2312" w:hAnsi="仿宋_GB2312" w:eastAsia="仿宋_GB2312" w:cs="仿宋_GB2312"/>
                <w:sz w:val="18"/>
                <w:szCs w:val="18"/>
                <w:highlight w:val="none"/>
                <w:lang w:val="en-US" w:eastAsia="zh-CN"/>
              </w:rPr>
              <w:t>1125.34</w:t>
            </w:r>
            <w:r>
              <w:rPr>
                <w:rFonts w:hint="eastAsia" w:ascii="仿宋_GB2312" w:hAnsi="仿宋_GB2312" w:eastAsia="仿宋_GB2312" w:cs="仿宋_GB2312"/>
                <w:sz w:val="18"/>
                <w:szCs w:val="18"/>
                <w:highlight w:val="none"/>
                <w:lang w:eastAsia="zh-CN"/>
              </w:rPr>
              <w:t>万元/基本支出调整预算数</w:t>
            </w:r>
            <w:r>
              <w:rPr>
                <w:rFonts w:hint="eastAsia" w:ascii="仿宋_GB2312" w:hAnsi="仿宋_GB2312" w:eastAsia="仿宋_GB2312" w:cs="仿宋_GB2312"/>
                <w:sz w:val="18"/>
                <w:szCs w:val="18"/>
                <w:highlight w:val="none"/>
                <w:lang w:val="en-US" w:eastAsia="zh-CN"/>
              </w:rPr>
              <w:t>1125.34</w:t>
            </w:r>
            <w:r>
              <w:rPr>
                <w:rFonts w:hint="eastAsia" w:ascii="仿宋_GB2312" w:hAnsi="仿宋_GB2312" w:eastAsia="仿宋_GB2312" w:cs="仿宋_GB2312"/>
                <w:sz w:val="18"/>
                <w:szCs w:val="18"/>
                <w:highlight w:val="none"/>
                <w:lang w:eastAsia="zh-CN"/>
              </w:rPr>
              <w:t>万元)×100%=100.00%;</w:t>
            </w:r>
          </w:p>
          <w:p w14:paraId="0AF7F47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项目支出预算执行率=(项目支出预算执行数</w:t>
            </w:r>
            <w:r>
              <w:rPr>
                <w:rFonts w:hint="eastAsia" w:ascii="仿宋_GB2312" w:hAnsi="仿宋_GB2312" w:eastAsia="仿宋_GB2312" w:cs="仿宋_GB2312"/>
                <w:sz w:val="18"/>
                <w:szCs w:val="18"/>
                <w:highlight w:val="none"/>
                <w:lang w:val="en-US" w:eastAsia="zh-CN"/>
              </w:rPr>
              <w:t>694.34</w:t>
            </w:r>
            <w:r>
              <w:rPr>
                <w:rFonts w:hint="eastAsia" w:ascii="仿宋_GB2312" w:hAnsi="仿宋_GB2312" w:eastAsia="仿宋_GB2312" w:cs="仿宋_GB2312"/>
                <w:sz w:val="18"/>
                <w:szCs w:val="18"/>
                <w:highlight w:val="none"/>
                <w:lang w:eastAsia="zh-CN"/>
              </w:rPr>
              <w:t>万元/</w:t>
            </w:r>
          </w:p>
          <w:p w14:paraId="4BBEA81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项目支出调整预算数</w:t>
            </w:r>
            <w:r>
              <w:rPr>
                <w:rFonts w:hint="eastAsia" w:ascii="仿宋_GB2312" w:hAnsi="仿宋_GB2312" w:eastAsia="仿宋_GB2312" w:cs="仿宋_GB2312"/>
                <w:sz w:val="18"/>
                <w:szCs w:val="18"/>
                <w:highlight w:val="none"/>
                <w:lang w:val="en-US" w:eastAsia="zh-CN"/>
              </w:rPr>
              <w:t>694.34</w:t>
            </w:r>
            <w:r>
              <w:rPr>
                <w:rFonts w:hint="eastAsia" w:ascii="仿宋_GB2312" w:hAnsi="仿宋_GB2312" w:eastAsia="仿宋_GB2312" w:cs="仿宋_GB2312"/>
                <w:sz w:val="18"/>
                <w:szCs w:val="18"/>
                <w:highlight w:val="none"/>
                <w:lang w:eastAsia="zh-CN"/>
              </w:rPr>
              <w:t>万元)×100%=100%;</w:t>
            </w:r>
          </w:p>
          <w:p w14:paraId="4FB2AB55">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预算执行率=(基本支出预算执行率100.00%+项目支出预算执行率100%)/2=100%,依据评分标准，不扣分。</w:t>
            </w:r>
          </w:p>
        </w:tc>
        <w:tc>
          <w:tcPr>
            <w:tcW w:w="233" w:type="pct"/>
            <w:shd w:val="clear" w:color="auto" w:fill="auto"/>
            <w:vAlign w:val="center"/>
          </w:tcPr>
          <w:p w14:paraId="0A6B488B">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w:t>
            </w:r>
          </w:p>
        </w:tc>
      </w:tr>
      <w:tr w14:paraId="2D7A9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54" w:type="pct"/>
            <w:vMerge w:val="continue"/>
            <w:vAlign w:val="center"/>
          </w:tcPr>
          <w:p w14:paraId="61FEF9B5">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1FC3764B">
            <w:pPr>
              <w:pStyle w:val="9"/>
              <w:jc w:val="center"/>
              <w:rPr>
                <w:rFonts w:hint="eastAsia" w:ascii="仿宋_GB2312" w:hAnsi="仿宋_GB2312" w:eastAsia="仿宋_GB2312" w:cs="仿宋_GB2312"/>
                <w:sz w:val="18"/>
                <w:szCs w:val="18"/>
                <w:highlight w:val="none"/>
              </w:rPr>
            </w:pPr>
          </w:p>
        </w:tc>
        <w:tc>
          <w:tcPr>
            <w:tcW w:w="284" w:type="pct"/>
            <w:shd w:val="clear" w:color="auto" w:fill="auto"/>
            <w:vAlign w:val="center"/>
          </w:tcPr>
          <w:p w14:paraId="7EE0C20F">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B14</w:t>
            </w:r>
          </w:p>
          <w:p w14:paraId="4A828EE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结转结余率</w:t>
            </w:r>
          </w:p>
        </w:tc>
        <w:tc>
          <w:tcPr>
            <w:tcW w:w="231" w:type="pct"/>
            <w:shd w:val="clear" w:color="auto" w:fill="auto"/>
            <w:vAlign w:val="center"/>
          </w:tcPr>
          <w:p w14:paraId="304C52A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0%</w:t>
            </w:r>
          </w:p>
        </w:tc>
        <w:tc>
          <w:tcPr>
            <w:tcW w:w="151" w:type="pct"/>
            <w:shd w:val="clear" w:color="auto" w:fill="auto"/>
            <w:vAlign w:val="center"/>
          </w:tcPr>
          <w:p w14:paraId="63589B17">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0771EEF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部门本年度结转结余总额与调整预算数的比率，用以反映和考核部门对本年度结转结余资金的实际控制程度。</w:t>
            </w:r>
          </w:p>
        </w:tc>
        <w:tc>
          <w:tcPr>
            <w:tcW w:w="1608" w:type="pct"/>
            <w:shd w:val="clear" w:color="auto" w:fill="auto"/>
            <w:vAlign w:val="center"/>
          </w:tcPr>
          <w:p w14:paraId="7761F38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结转结余率=结转结余总额/调整预算数×100%。结转结余总额：部门本年度的结转资金与结余资金之和(以决算数为准，“三公”经费未执行数和政府采购节约资金等视同已支出)。</w:t>
            </w:r>
          </w:p>
          <w:p w14:paraId="0333BDB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评分规则：1.比率=0%,得满分；2.10%&lt;比率&lt;0%,每增加1%,扣10%的权重分，扣完为止。</w:t>
            </w:r>
          </w:p>
        </w:tc>
        <w:tc>
          <w:tcPr>
            <w:tcW w:w="1240" w:type="pct"/>
            <w:shd w:val="clear" w:color="auto" w:fill="auto"/>
            <w:vAlign w:val="center"/>
          </w:tcPr>
          <w:p w14:paraId="32092611">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结转结余率=结转结余总额0万元/调整预算数</w:t>
            </w:r>
            <w:r>
              <w:rPr>
                <w:rFonts w:hint="eastAsia" w:ascii="仿宋_GB2312" w:hAnsi="仿宋_GB2312" w:eastAsia="仿宋_GB2312" w:cs="仿宋_GB2312"/>
                <w:sz w:val="18"/>
                <w:szCs w:val="18"/>
                <w:highlight w:val="none"/>
                <w:lang w:val="en-US" w:eastAsia="zh-CN"/>
              </w:rPr>
              <w:t>1819.68</w:t>
            </w:r>
            <w:r>
              <w:rPr>
                <w:rFonts w:hint="eastAsia" w:ascii="仿宋_GB2312" w:hAnsi="仿宋_GB2312" w:eastAsia="仿宋_GB2312" w:cs="仿宋_GB2312"/>
                <w:sz w:val="18"/>
                <w:szCs w:val="18"/>
                <w:highlight w:val="none"/>
                <w:lang w:eastAsia="zh-CN"/>
              </w:rPr>
              <w:t>万元×100%=0%,依据评分标准，不扣分。</w:t>
            </w:r>
          </w:p>
        </w:tc>
        <w:tc>
          <w:tcPr>
            <w:tcW w:w="233" w:type="pct"/>
            <w:shd w:val="clear" w:color="auto" w:fill="auto"/>
            <w:vAlign w:val="center"/>
          </w:tcPr>
          <w:p w14:paraId="74C951F6">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1</w:t>
            </w:r>
          </w:p>
        </w:tc>
      </w:tr>
      <w:tr w14:paraId="5A1E1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254" w:type="pct"/>
            <w:vMerge w:val="continue"/>
            <w:vAlign w:val="center"/>
          </w:tcPr>
          <w:p w14:paraId="3B46402F">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0672DADD">
            <w:pPr>
              <w:pStyle w:val="9"/>
              <w:jc w:val="center"/>
              <w:rPr>
                <w:rFonts w:hint="eastAsia" w:ascii="仿宋_GB2312" w:hAnsi="仿宋_GB2312" w:eastAsia="仿宋_GB2312" w:cs="仿宋_GB2312"/>
                <w:sz w:val="18"/>
                <w:szCs w:val="18"/>
                <w:highlight w:val="none"/>
              </w:rPr>
            </w:pPr>
          </w:p>
        </w:tc>
        <w:tc>
          <w:tcPr>
            <w:tcW w:w="284" w:type="pct"/>
            <w:shd w:val="clear" w:color="auto" w:fill="auto"/>
            <w:vAlign w:val="center"/>
          </w:tcPr>
          <w:p w14:paraId="71AEE5B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B15</w:t>
            </w:r>
          </w:p>
          <w:p w14:paraId="2ED5212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公用经费控制率</w:t>
            </w:r>
          </w:p>
        </w:tc>
        <w:tc>
          <w:tcPr>
            <w:tcW w:w="231" w:type="pct"/>
            <w:shd w:val="clear" w:color="auto" w:fill="auto"/>
            <w:vAlign w:val="center"/>
          </w:tcPr>
          <w:p w14:paraId="5078F2AB">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1" w:type="pct"/>
            <w:shd w:val="clear" w:color="auto" w:fill="auto"/>
            <w:vAlign w:val="center"/>
          </w:tcPr>
          <w:p w14:paraId="2FC140B0">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6CB25305">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部门本年度实际支出的公用经费总额与预算安排的公用经费总额的比率，用以反映和考核部门对本年度公用经费的控制程度。</w:t>
            </w:r>
          </w:p>
        </w:tc>
        <w:tc>
          <w:tcPr>
            <w:tcW w:w="1608" w:type="pct"/>
            <w:shd w:val="clear" w:color="auto" w:fill="auto"/>
            <w:vAlign w:val="center"/>
          </w:tcPr>
          <w:p w14:paraId="2C26FF8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公用经费控制率=(实际支出公用经费总额/预算安排公用经费总额)×100%。</w:t>
            </w:r>
          </w:p>
          <w:p w14:paraId="16B621E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评分规则：1.比率≤100%,得满分；2.比率&gt;100%,不得分。</w:t>
            </w:r>
          </w:p>
        </w:tc>
        <w:tc>
          <w:tcPr>
            <w:tcW w:w="1240" w:type="pct"/>
            <w:shd w:val="clear" w:color="auto" w:fill="auto"/>
            <w:vAlign w:val="center"/>
          </w:tcPr>
          <w:p w14:paraId="3C056FF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公用经费控制率=(实际支出公用经费总额</w:t>
            </w:r>
            <w:r>
              <w:rPr>
                <w:rFonts w:hint="eastAsia" w:ascii="仿宋_GB2312" w:hAnsi="仿宋_GB2312" w:eastAsia="仿宋_GB2312" w:cs="仿宋_GB2312"/>
                <w:sz w:val="18"/>
                <w:szCs w:val="18"/>
                <w:highlight w:val="none"/>
                <w:lang w:val="en-US" w:eastAsia="zh-CN"/>
              </w:rPr>
              <w:t>88.58</w:t>
            </w:r>
            <w:r>
              <w:rPr>
                <w:rFonts w:hint="eastAsia" w:ascii="仿宋_GB2312" w:hAnsi="仿宋_GB2312" w:eastAsia="仿宋_GB2312" w:cs="仿宋_GB2312"/>
                <w:sz w:val="18"/>
                <w:szCs w:val="18"/>
                <w:highlight w:val="none"/>
                <w:lang w:eastAsia="zh-CN"/>
              </w:rPr>
              <w:t>万元/预算安排公用经费总额</w:t>
            </w:r>
            <w:r>
              <w:rPr>
                <w:rFonts w:hint="eastAsia" w:ascii="仿宋_GB2312" w:hAnsi="仿宋_GB2312" w:eastAsia="仿宋_GB2312" w:cs="仿宋_GB2312"/>
                <w:sz w:val="18"/>
                <w:szCs w:val="18"/>
                <w:highlight w:val="none"/>
                <w:lang w:val="en-US" w:eastAsia="zh-CN"/>
              </w:rPr>
              <w:t>88.58</w:t>
            </w:r>
            <w:r>
              <w:rPr>
                <w:rFonts w:hint="eastAsia" w:ascii="仿宋_GB2312" w:hAnsi="仿宋_GB2312" w:eastAsia="仿宋_GB2312" w:cs="仿宋_GB2312"/>
                <w:sz w:val="18"/>
                <w:szCs w:val="18"/>
                <w:highlight w:val="none"/>
                <w:lang w:eastAsia="zh-CN"/>
              </w:rPr>
              <w:t>万元)×100%=100%。</w:t>
            </w:r>
          </w:p>
        </w:tc>
        <w:tc>
          <w:tcPr>
            <w:tcW w:w="233" w:type="pct"/>
            <w:shd w:val="clear" w:color="auto" w:fill="auto"/>
            <w:vAlign w:val="center"/>
          </w:tcPr>
          <w:p w14:paraId="2752F17C">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1193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254" w:type="pct"/>
            <w:vMerge w:val="continue"/>
            <w:vAlign w:val="center"/>
          </w:tcPr>
          <w:p w14:paraId="611BD7B6">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1EF454F2">
            <w:pPr>
              <w:pStyle w:val="9"/>
              <w:jc w:val="center"/>
              <w:rPr>
                <w:rFonts w:hint="eastAsia" w:ascii="仿宋_GB2312" w:hAnsi="仿宋_GB2312" w:eastAsia="仿宋_GB2312" w:cs="仿宋_GB2312"/>
                <w:sz w:val="18"/>
                <w:szCs w:val="18"/>
                <w:highlight w:val="none"/>
              </w:rPr>
            </w:pPr>
          </w:p>
        </w:tc>
        <w:tc>
          <w:tcPr>
            <w:tcW w:w="284" w:type="pct"/>
            <w:shd w:val="clear" w:color="auto" w:fill="auto"/>
            <w:vAlign w:val="center"/>
          </w:tcPr>
          <w:p w14:paraId="40E33562">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B16</w:t>
            </w:r>
          </w:p>
          <w:p w14:paraId="77E1BA60">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“三公经费”变动率</w:t>
            </w:r>
          </w:p>
        </w:tc>
        <w:tc>
          <w:tcPr>
            <w:tcW w:w="231" w:type="pct"/>
            <w:shd w:val="clear" w:color="auto" w:fill="auto"/>
            <w:vAlign w:val="center"/>
          </w:tcPr>
          <w:p w14:paraId="3672D1B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≤0%</w:t>
            </w:r>
          </w:p>
        </w:tc>
        <w:tc>
          <w:tcPr>
            <w:tcW w:w="151" w:type="pct"/>
            <w:shd w:val="clear" w:color="auto" w:fill="auto"/>
            <w:vAlign w:val="center"/>
          </w:tcPr>
          <w:p w14:paraId="673FC1E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74DA1C40">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部门本年度“三公经费”预算数与上年度“三公经费”预算数的变动比率，用以反映和考核部门对控制重点行政成本的努力程度。</w:t>
            </w:r>
          </w:p>
        </w:tc>
        <w:tc>
          <w:tcPr>
            <w:tcW w:w="1608" w:type="pct"/>
            <w:shd w:val="clear" w:color="auto" w:fill="auto"/>
            <w:vAlign w:val="center"/>
          </w:tcPr>
          <w:p w14:paraId="38E24EC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‘三公经费”变动率=[(本年度“三公经费”总额-上年度</w:t>
            </w:r>
          </w:p>
          <w:p w14:paraId="16DE342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“三公经费”总额)/上年度“三公经费”总额]×100%。</w:t>
            </w:r>
          </w:p>
          <w:p w14:paraId="0C31C83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“三公经费”:年度预算安排的因公出国(境)费、公务车辆购</w:t>
            </w:r>
          </w:p>
          <w:p w14:paraId="04C7F8A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置及运行费和公务招待费。</w:t>
            </w:r>
          </w:p>
          <w:p w14:paraId="265D5BB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评分规则：1.比率≤0%,得满分；2.比率&gt;0%,不得分。</w:t>
            </w:r>
          </w:p>
        </w:tc>
        <w:tc>
          <w:tcPr>
            <w:tcW w:w="1240" w:type="pct"/>
            <w:shd w:val="clear" w:color="auto" w:fill="auto"/>
            <w:vAlign w:val="center"/>
          </w:tcPr>
          <w:p w14:paraId="77E0583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“三公经费”变动率=[(本年度“三公经费”总额</w:t>
            </w:r>
            <w:r>
              <w:rPr>
                <w:rFonts w:hint="eastAsia" w:ascii="仿宋_GB2312" w:hAnsi="仿宋_GB2312" w:eastAsia="仿宋_GB2312" w:cs="仿宋_GB2312"/>
                <w:sz w:val="18"/>
                <w:szCs w:val="18"/>
                <w:highlight w:val="none"/>
                <w:lang w:val="en-US" w:eastAsia="zh-CN"/>
              </w:rPr>
              <w:t>9.86</w:t>
            </w:r>
            <w:r>
              <w:rPr>
                <w:rFonts w:hint="eastAsia" w:ascii="仿宋_GB2312" w:hAnsi="仿宋_GB2312" w:eastAsia="仿宋_GB2312" w:cs="仿宋_GB2312"/>
                <w:sz w:val="18"/>
                <w:szCs w:val="18"/>
                <w:highlight w:val="none"/>
                <w:lang w:eastAsia="zh-CN"/>
              </w:rPr>
              <w:t>万元-上年度“三公经费”总额</w:t>
            </w:r>
            <w:r>
              <w:rPr>
                <w:rFonts w:hint="eastAsia" w:ascii="仿宋_GB2312" w:hAnsi="仿宋_GB2312" w:eastAsia="仿宋_GB2312" w:cs="仿宋_GB2312"/>
                <w:sz w:val="18"/>
                <w:szCs w:val="18"/>
                <w:highlight w:val="none"/>
                <w:lang w:val="en-US" w:eastAsia="zh-CN"/>
              </w:rPr>
              <w:t>6.12</w:t>
            </w:r>
            <w:r>
              <w:rPr>
                <w:rFonts w:hint="eastAsia" w:ascii="仿宋_GB2312" w:hAnsi="仿宋_GB2312" w:eastAsia="仿宋_GB2312" w:cs="仿宋_GB2312"/>
                <w:sz w:val="18"/>
                <w:szCs w:val="18"/>
                <w:highlight w:val="none"/>
                <w:lang w:eastAsia="zh-CN"/>
              </w:rPr>
              <w:t>万元)/上年度“三公经费”总额</w:t>
            </w:r>
            <w:r>
              <w:rPr>
                <w:rFonts w:hint="eastAsia" w:ascii="仿宋_GB2312" w:hAnsi="仿宋_GB2312" w:eastAsia="仿宋_GB2312" w:cs="仿宋_GB2312"/>
                <w:sz w:val="18"/>
                <w:szCs w:val="18"/>
                <w:highlight w:val="none"/>
                <w:lang w:val="en-US" w:eastAsia="zh-CN"/>
              </w:rPr>
              <w:t>6.12</w:t>
            </w:r>
            <w:r>
              <w:rPr>
                <w:rFonts w:hint="eastAsia" w:ascii="仿宋_GB2312" w:hAnsi="仿宋_GB2312" w:eastAsia="仿宋_GB2312" w:cs="仿宋_GB2312"/>
                <w:sz w:val="18"/>
                <w:szCs w:val="18"/>
                <w:highlight w:val="none"/>
                <w:lang w:eastAsia="zh-CN"/>
              </w:rPr>
              <w:t>万元]×100%=</w:t>
            </w:r>
            <w:r>
              <w:rPr>
                <w:rFonts w:hint="eastAsia" w:ascii="仿宋_GB2312" w:hAnsi="仿宋_GB2312" w:eastAsia="仿宋_GB2312" w:cs="仿宋_GB2312"/>
                <w:sz w:val="18"/>
                <w:szCs w:val="18"/>
                <w:highlight w:val="none"/>
                <w:lang w:val="en-US" w:eastAsia="zh-CN"/>
              </w:rPr>
              <w:t>61.11</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2023年度没有因公出</w:t>
            </w:r>
            <w:r>
              <w:rPr>
                <w:rFonts w:hint="eastAsia" w:ascii="仿宋_GB2312" w:hAnsi="仿宋_GB2312" w:eastAsia="仿宋_GB2312" w:cs="仿宋_GB2312"/>
                <w:sz w:val="18"/>
                <w:szCs w:val="18"/>
                <w:highlight w:val="none"/>
                <w:lang w:eastAsia="zh-CN"/>
              </w:rPr>
              <w:t>国(境)费用，酌情扣</w:t>
            </w:r>
            <w:r>
              <w:rPr>
                <w:rFonts w:hint="eastAsia" w:ascii="仿宋_GB2312" w:hAnsi="仿宋_GB2312" w:eastAsia="仿宋_GB2312" w:cs="仿宋_GB2312"/>
                <w:sz w:val="18"/>
                <w:szCs w:val="18"/>
                <w:highlight w:val="none"/>
                <w:lang w:val="en-US" w:eastAsia="zh-CN"/>
              </w:rPr>
              <w:t>0.5分</w:t>
            </w:r>
            <w:r>
              <w:rPr>
                <w:rFonts w:hint="eastAsia" w:ascii="仿宋_GB2312" w:hAnsi="仿宋_GB2312" w:eastAsia="仿宋_GB2312" w:cs="仿宋_GB2312"/>
                <w:sz w:val="18"/>
                <w:szCs w:val="18"/>
                <w:highlight w:val="none"/>
                <w:lang w:eastAsia="zh-CN"/>
              </w:rPr>
              <w:t>。</w:t>
            </w:r>
          </w:p>
          <w:p w14:paraId="3FC30996">
            <w:pPr>
              <w:pStyle w:val="9"/>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eastAsia="zh-CN"/>
              </w:rPr>
              <w:t>扣分说明，本年增加</w:t>
            </w:r>
            <w:r>
              <w:rPr>
                <w:rFonts w:hint="eastAsia" w:ascii="仿宋_GB2312" w:hAnsi="仿宋_GB2312" w:eastAsia="仿宋_GB2312" w:cs="仿宋_GB2312"/>
                <w:sz w:val="18"/>
                <w:szCs w:val="18"/>
                <w:highlight w:val="none"/>
                <w:lang w:val="en-US" w:eastAsia="zh-CN"/>
              </w:rPr>
              <w:t>因公出</w:t>
            </w:r>
            <w:r>
              <w:rPr>
                <w:rFonts w:hint="eastAsia" w:ascii="仿宋_GB2312" w:hAnsi="仿宋_GB2312" w:eastAsia="仿宋_GB2312" w:cs="仿宋_GB2312"/>
                <w:sz w:val="18"/>
                <w:szCs w:val="18"/>
                <w:highlight w:val="none"/>
                <w:lang w:eastAsia="zh-CN"/>
              </w:rPr>
              <w:t>国(境)费用，扣</w:t>
            </w:r>
            <w:r>
              <w:rPr>
                <w:rFonts w:hint="eastAsia" w:ascii="仿宋_GB2312" w:hAnsi="仿宋_GB2312" w:eastAsia="仿宋_GB2312" w:cs="仿宋_GB2312"/>
                <w:sz w:val="18"/>
                <w:szCs w:val="18"/>
                <w:highlight w:val="none"/>
                <w:lang w:val="en-US" w:eastAsia="zh-CN"/>
              </w:rPr>
              <w:t>0.5分。</w:t>
            </w:r>
          </w:p>
        </w:tc>
        <w:tc>
          <w:tcPr>
            <w:tcW w:w="233" w:type="pct"/>
            <w:shd w:val="clear" w:color="auto" w:fill="auto"/>
            <w:vAlign w:val="center"/>
          </w:tcPr>
          <w:p w14:paraId="4173C154">
            <w:pPr>
              <w:pStyle w:val="9"/>
              <w:jc w:val="center"/>
              <w:rPr>
                <w:rFonts w:hint="default"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0.5</w:t>
            </w:r>
          </w:p>
        </w:tc>
      </w:tr>
      <w:tr w14:paraId="6CFE6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254" w:type="pct"/>
            <w:vMerge w:val="continue"/>
            <w:vAlign w:val="center"/>
          </w:tcPr>
          <w:p w14:paraId="18AA7804">
            <w:pPr>
              <w:pStyle w:val="9"/>
              <w:jc w:val="center"/>
              <w:rPr>
                <w:rFonts w:hint="eastAsia" w:ascii="仿宋_GB2312" w:hAnsi="仿宋_GB2312" w:eastAsia="仿宋_GB2312" w:cs="仿宋_GB2312"/>
                <w:sz w:val="18"/>
                <w:szCs w:val="18"/>
                <w:highlight w:val="none"/>
              </w:rPr>
            </w:pPr>
          </w:p>
        </w:tc>
        <w:tc>
          <w:tcPr>
            <w:tcW w:w="297" w:type="pct"/>
            <w:vMerge w:val="continue"/>
            <w:vAlign w:val="center"/>
          </w:tcPr>
          <w:p w14:paraId="173C3834">
            <w:pPr>
              <w:pStyle w:val="9"/>
              <w:jc w:val="center"/>
              <w:rPr>
                <w:rFonts w:hint="eastAsia" w:ascii="仿宋_GB2312" w:hAnsi="仿宋_GB2312" w:eastAsia="仿宋_GB2312" w:cs="仿宋_GB2312"/>
                <w:sz w:val="18"/>
                <w:szCs w:val="18"/>
                <w:highlight w:val="none"/>
              </w:rPr>
            </w:pPr>
          </w:p>
        </w:tc>
        <w:tc>
          <w:tcPr>
            <w:tcW w:w="284" w:type="pct"/>
            <w:shd w:val="clear" w:color="auto" w:fill="auto"/>
            <w:vAlign w:val="center"/>
          </w:tcPr>
          <w:p w14:paraId="616F941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B17</w:t>
            </w:r>
          </w:p>
          <w:p w14:paraId="6235895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政府采购执行率</w:t>
            </w:r>
          </w:p>
        </w:tc>
        <w:tc>
          <w:tcPr>
            <w:tcW w:w="231" w:type="pct"/>
            <w:shd w:val="clear" w:color="auto" w:fill="auto"/>
            <w:vAlign w:val="center"/>
          </w:tcPr>
          <w:p w14:paraId="034DC71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90%-</w:t>
            </w:r>
          </w:p>
          <w:p w14:paraId="6CC85042">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lang w:eastAsia="zh-CN"/>
              </w:rPr>
              <w:t>1</w:t>
            </w:r>
            <w:r>
              <w:rPr>
                <w:rFonts w:hint="eastAsia" w:ascii="仿宋_GB2312" w:hAnsi="仿宋_GB2312" w:eastAsia="仿宋_GB2312" w:cs="仿宋_GB2312"/>
                <w:sz w:val="18"/>
                <w:szCs w:val="18"/>
                <w:highlight w:val="none"/>
              </w:rPr>
              <w:t>00%</w:t>
            </w:r>
          </w:p>
        </w:tc>
        <w:tc>
          <w:tcPr>
            <w:tcW w:w="151" w:type="pct"/>
            <w:shd w:val="clear" w:color="auto" w:fill="auto"/>
            <w:vAlign w:val="center"/>
          </w:tcPr>
          <w:p w14:paraId="6DB1DB5B">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6450CE0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部门本年度实际政府采购金额与年初政府采购预算的比率，用以反映和考核部门政府采购预算执行情况。</w:t>
            </w:r>
          </w:p>
        </w:tc>
        <w:tc>
          <w:tcPr>
            <w:tcW w:w="1608" w:type="pct"/>
            <w:shd w:val="clear" w:color="auto" w:fill="auto"/>
            <w:vAlign w:val="center"/>
          </w:tcPr>
          <w:p w14:paraId="5C3C136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政府采购执行率=(实际政府采购金额/政府采购预算数)x100%;政府采购预算：采购单位根据事业发展计划和行政任务编制的、并经过规定程序批准的年度政府采购计划。</w:t>
            </w:r>
          </w:p>
          <w:p w14:paraId="692A76B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评分规则：政府采购执行率在100%(含)-90%(含)之间得满分，否则每增加或减少1%,扣2%的权重分，扣完为止。根据要求压减预算不扣分。</w:t>
            </w:r>
          </w:p>
        </w:tc>
        <w:tc>
          <w:tcPr>
            <w:tcW w:w="1240" w:type="pct"/>
            <w:shd w:val="clear" w:color="auto" w:fill="auto"/>
            <w:vAlign w:val="center"/>
          </w:tcPr>
          <w:p w14:paraId="652EDED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政府采购执行率=(实际政府采购金额</w:t>
            </w:r>
            <w:r>
              <w:rPr>
                <w:rFonts w:hint="eastAsia" w:ascii="仿宋_GB2312" w:hAnsi="仿宋_GB2312" w:eastAsia="仿宋_GB2312" w:cs="仿宋_GB2312"/>
                <w:sz w:val="18"/>
                <w:szCs w:val="18"/>
                <w:highlight w:val="none"/>
                <w:lang w:val="en-US" w:eastAsia="zh-CN"/>
              </w:rPr>
              <w:t>21.26</w:t>
            </w:r>
            <w:r>
              <w:rPr>
                <w:rFonts w:hint="eastAsia" w:ascii="仿宋_GB2312" w:hAnsi="仿宋_GB2312" w:eastAsia="仿宋_GB2312" w:cs="仿宋_GB2312"/>
                <w:sz w:val="18"/>
                <w:szCs w:val="18"/>
                <w:highlight w:val="none"/>
                <w:lang w:eastAsia="zh-CN"/>
              </w:rPr>
              <w:t>万元/政府采购预算数</w:t>
            </w:r>
            <w:r>
              <w:rPr>
                <w:rFonts w:hint="eastAsia" w:ascii="仿宋_GB2312" w:hAnsi="仿宋_GB2312" w:eastAsia="仿宋_GB2312" w:cs="仿宋_GB2312"/>
                <w:sz w:val="18"/>
                <w:szCs w:val="18"/>
                <w:highlight w:val="none"/>
                <w:lang w:val="en-US" w:eastAsia="zh-CN"/>
              </w:rPr>
              <w:t>35.54</w:t>
            </w:r>
            <w:r>
              <w:rPr>
                <w:rFonts w:hint="eastAsia" w:ascii="仿宋_GB2312" w:hAnsi="仿宋_GB2312" w:eastAsia="仿宋_GB2312" w:cs="仿宋_GB2312"/>
                <w:sz w:val="18"/>
                <w:szCs w:val="18"/>
                <w:highlight w:val="none"/>
                <w:lang w:eastAsia="zh-CN"/>
              </w:rPr>
              <w:t>万元)×100%=</w:t>
            </w:r>
            <w:r>
              <w:rPr>
                <w:rFonts w:hint="eastAsia" w:ascii="仿宋_GB2312" w:hAnsi="仿宋_GB2312" w:eastAsia="仿宋_GB2312" w:cs="仿宋_GB2312"/>
                <w:sz w:val="18"/>
                <w:szCs w:val="18"/>
                <w:highlight w:val="none"/>
                <w:lang w:val="en-US" w:eastAsia="zh-CN"/>
              </w:rPr>
              <w:t>60</w:t>
            </w:r>
            <w:r>
              <w:rPr>
                <w:rFonts w:hint="eastAsia" w:ascii="仿宋_GB2312" w:hAnsi="仿宋_GB2312" w:eastAsia="仿宋_GB2312" w:cs="仿宋_GB2312"/>
                <w:sz w:val="18"/>
                <w:szCs w:val="18"/>
                <w:highlight w:val="none"/>
                <w:lang w:eastAsia="zh-CN"/>
              </w:rPr>
              <w:t>%,其中</w:t>
            </w:r>
            <w:r>
              <w:rPr>
                <w:rFonts w:hint="eastAsia" w:ascii="仿宋_GB2312" w:hAnsi="仿宋_GB2312" w:eastAsia="仿宋_GB2312" w:cs="仿宋_GB2312"/>
                <w:sz w:val="18"/>
                <w:szCs w:val="18"/>
                <w:highlight w:val="none"/>
                <w:lang w:val="en-US" w:eastAsia="zh-CN"/>
              </w:rPr>
              <w:t>25.82</w:t>
            </w:r>
            <w:r>
              <w:rPr>
                <w:rFonts w:hint="eastAsia" w:ascii="仿宋_GB2312" w:hAnsi="仿宋_GB2312" w:eastAsia="仿宋_GB2312" w:cs="仿宋_GB2312"/>
                <w:sz w:val="18"/>
                <w:szCs w:val="18"/>
                <w:highlight w:val="none"/>
                <w:lang w:eastAsia="zh-CN"/>
              </w:rPr>
              <w:t>万元为根据要求压减资金，依据评分标准，不扣分。</w:t>
            </w:r>
          </w:p>
        </w:tc>
        <w:tc>
          <w:tcPr>
            <w:tcW w:w="233" w:type="pct"/>
            <w:shd w:val="clear" w:color="auto" w:fill="auto"/>
            <w:vAlign w:val="center"/>
          </w:tcPr>
          <w:p w14:paraId="37E912E8">
            <w:pPr>
              <w:pStyle w:val="9"/>
              <w:jc w:val="center"/>
              <w:rPr>
                <w:rFonts w:hint="default"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1</w:t>
            </w:r>
          </w:p>
        </w:tc>
      </w:tr>
      <w:tr w14:paraId="015D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jc w:val="center"/>
        </w:trPr>
        <w:tc>
          <w:tcPr>
            <w:tcW w:w="254" w:type="pct"/>
            <w:vMerge w:val="continue"/>
            <w:vAlign w:val="center"/>
          </w:tcPr>
          <w:p w14:paraId="6469CBDD">
            <w:pPr>
              <w:pStyle w:val="9"/>
              <w:jc w:val="center"/>
              <w:rPr>
                <w:rFonts w:hint="eastAsia" w:ascii="仿宋_GB2312" w:hAnsi="仿宋_GB2312" w:eastAsia="仿宋_GB2312" w:cs="仿宋_GB2312"/>
                <w:sz w:val="18"/>
                <w:szCs w:val="18"/>
                <w:highlight w:val="none"/>
              </w:rPr>
            </w:pPr>
          </w:p>
        </w:tc>
        <w:tc>
          <w:tcPr>
            <w:tcW w:w="297" w:type="pct"/>
            <w:vMerge w:val="continue"/>
            <w:tcBorders>
              <w:bottom w:val="single" w:color="auto" w:sz="4" w:space="0"/>
            </w:tcBorders>
            <w:vAlign w:val="center"/>
          </w:tcPr>
          <w:p w14:paraId="08B883AA">
            <w:pPr>
              <w:pStyle w:val="9"/>
              <w:jc w:val="center"/>
              <w:rPr>
                <w:rFonts w:hint="eastAsia" w:ascii="仿宋_GB2312" w:hAnsi="仿宋_GB2312" w:eastAsia="仿宋_GB2312" w:cs="仿宋_GB2312"/>
                <w:sz w:val="18"/>
                <w:szCs w:val="18"/>
                <w:highlight w:val="none"/>
              </w:rPr>
            </w:pPr>
          </w:p>
        </w:tc>
        <w:tc>
          <w:tcPr>
            <w:tcW w:w="284" w:type="pct"/>
            <w:shd w:val="clear" w:color="auto" w:fill="auto"/>
            <w:vAlign w:val="center"/>
          </w:tcPr>
          <w:p w14:paraId="56E26A3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B18</w:t>
            </w:r>
          </w:p>
          <w:p w14:paraId="36D4E38E">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非税收入完成率</w:t>
            </w:r>
          </w:p>
        </w:tc>
        <w:tc>
          <w:tcPr>
            <w:tcW w:w="231" w:type="pct"/>
            <w:shd w:val="clear" w:color="auto" w:fill="auto"/>
            <w:vAlign w:val="center"/>
          </w:tcPr>
          <w:p w14:paraId="173D8154">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1" w:type="pct"/>
            <w:shd w:val="clear" w:color="auto" w:fill="auto"/>
            <w:vAlign w:val="center"/>
          </w:tcPr>
          <w:p w14:paraId="212CCD8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4AA9582C">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部门本年度实际非税收入完成数与非税收入计划数的比率，用以反映和考核部门非税收入完成执行情况。</w:t>
            </w:r>
          </w:p>
        </w:tc>
        <w:tc>
          <w:tcPr>
            <w:tcW w:w="1608" w:type="pct"/>
            <w:shd w:val="clear" w:color="auto" w:fill="auto"/>
            <w:vAlign w:val="center"/>
          </w:tcPr>
          <w:p w14:paraId="302BD0D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非税收入完成率=(非税收入实际完成数/非税收入计划数)×100%</w:t>
            </w:r>
          </w:p>
          <w:p w14:paraId="67EBA56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非税收入实际完成数：部门本年度实际上缴国库的非税收入；</w:t>
            </w:r>
          </w:p>
          <w:p w14:paraId="0E75D27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非税收入计划数：本年度非税系统编制的计划收入数。</w:t>
            </w:r>
          </w:p>
          <w:p w14:paraId="7F3EEEC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w:t>
            </w:r>
          </w:p>
          <w:p w14:paraId="4018C18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1.比率≥100%,得满分；</w:t>
            </w:r>
          </w:p>
          <w:p w14:paraId="2F1C263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2.比率&lt;100%,每减少1%,扣2%的权重分，扣完为止。</w:t>
            </w:r>
          </w:p>
        </w:tc>
        <w:tc>
          <w:tcPr>
            <w:tcW w:w="1240" w:type="pct"/>
            <w:shd w:val="clear" w:color="auto" w:fill="auto"/>
            <w:vAlign w:val="center"/>
          </w:tcPr>
          <w:p w14:paraId="15B63F2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非税收入计划完成率=(非税收入实际完成数</w:t>
            </w:r>
            <w:r>
              <w:rPr>
                <w:rFonts w:hint="eastAsia" w:ascii="仿宋_GB2312" w:hAnsi="仿宋_GB2312" w:eastAsia="仿宋_GB2312" w:cs="仿宋_GB2312"/>
                <w:sz w:val="18"/>
                <w:szCs w:val="18"/>
                <w:highlight w:val="none"/>
                <w:lang w:val="en-US" w:eastAsia="zh-CN"/>
              </w:rPr>
              <w:t>4872</w:t>
            </w:r>
            <w:r>
              <w:rPr>
                <w:rFonts w:hint="eastAsia" w:ascii="仿宋_GB2312" w:hAnsi="仿宋_GB2312" w:eastAsia="仿宋_GB2312" w:cs="仿宋_GB2312"/>
                <w:sz w:val="18"/>
                <w:szCs w:val="18"/>
                <w:highlight w:val="none"/>
                <w:lang w:eastAsia="zh-CN"/>
              </w:rPr>
              <w:t>万元/非税收入计划数</w:t>
            </w:r>
            <w:r>
              <w:rPr>
                <w:rFonts w:hint="eastAsia" w:ascii="仿宋_GB2312" w:hAnsi="仿宋_GB2312" w:eastAsia="仿宋_GB2312" w:cs="仿宋_GB2312"/>
                <w:sz w:val="18"/>
                <w:szCs w:val="18"/>
                <w:highlight w:val="none"/>
                <w:lang w:val="en-US" w:eastAsia="zh-CN"/>
              </w:rPr>
              <w:t>4105</w:t>
            </w:r>
            <w:r>
              <w:rPr>
                <w:rFonts w:hint="eastAsia" w:ascii="仿宋_GB2312" w:hAnsi="仿宋_GB2312" w:eastAsia="仿宋_GB2312" w:cs="仿宋_GB2312"/>
                <w:sz w:val="18"/>
                <w:szCs w:val="18"/>
                <w:highlight w:val="none"/>
                <w:lang w:eastAsia="zh-CN"/>
              </w:rPr>
              <w:t>万元)×100%=</w:t>
            </w:r>
            <w:r>
              <w:rPr>
                <w:rFonts w:hint="eastAsia" w:ascii="仿宋_GB2312" w:hAnsi="仿宋_GB2312" w:eastAsia="仿宋_GB2312" w:cs="仿宋_GB2312"/>
                <w:sz w:val="18"/>
                <w:szCs w:val="18"/>
                <w:highlight w:val="none"/>
                <w:lang w:val="en-US" w:eastAsia="zh-CN"/>
              </w:rPr>
              <w:t>118.68</w:t>
            </w:r>
            <w:r>
              <w:rPr>
                <w:rFonts w:hint="eastAsia" w:ascii="仿宋_GB2312" w:hAnsi="仿宋_GB2312" w:eastAsia="仿宋_GB2312" w:cs="仿宋_GB2312"/>
                <w:sz w:val="18"/>
                <w:szCs w:val="18"/>
                <w:highlight w:val="none"/>
                <w:lang w:eastAsia="zh-CN"/>
              </w:rPr>
              <w:t>%。</w:t>
            </w:r>
          </w:p>
        </w:tc>
        <w:tc>
          <w:tcPr>
            <w:tcW w:w="233" w:type="pct"/>
            <w:shd w:val="clear" w:color="auto" w:fill="auto"/>
            <w:vAlign w:val="center"/>
          </w:tcPr>
          <w:p w14:paraId="41EBBF22">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0D236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jc w:val="center"/>
        </w:trPr>
        <w:tc>
          <w:tcPr>
            <w:tcW w:w="254" w:type="pct"/>
            <w:vMerge w:val="continue"/>
            <w:vAlign w:val="center"/>
          </w:tcPr>
          <w:p w14:paraId="53D517DA">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bottom w:val="single" w:color="auto" w:sz="4" w:space="0"/>
              <w:right w:val="single" w:color="auto" w:sz="4" w:space="0"/>
            </w:tcBorders>
            <w:vAlign w:val="center"/>
          </w:tcPr>
          <w:p w14:paraId="54BE75B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B2</w:t>
            </w:r>
          </w:p>
          <w:p w14:paraId="0899606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预算管理</w:t>
            </w:r>
          </w:p>
          <w:p w14:paraId="76B33954">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(7)</w:t>
            </w:r>
          </w:p>
          <w:p w14:paraId="74D86936">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3DAD7642">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B21</w:t>
            </w:r>
          </w:p>
          <w:p w14:paraId="501B9BED">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预算管理制度健全性</w:t>
            </w:r>
          </w:p>
        </w:tc>
        <w:tc>
          <w:tcPr>
            <w:tcW w:w="231" w:type="pct"/>
            <w:shd w:val="clear" w:color="auto" w:fill="auto"/>
            <w:vAlign w:val="center"/>
          </w:tcPr>
          <w:p w14:paraId="1B3B9DA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健全</w:t>
            </w:r>
          </w:p>
        </w:tc>
        <w:tc>
          <w:tcPr>
            <w:tcW w:w="151" w:type="pct"/>
            <w:shd w:val="clear" w:color="auto" w:fill="auto"/>
            <w:vAlign w:val="center"/>
          </w:tcPr>
          <w:p w14:paraId="1C92694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050347C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部门为加强预算管理、规范财务行为而制定的管理制度是否健全完整，用以反映和考核部门预算管理制度对完成部门整体预算和职责履行的保障作用。</w:t>
            </w:r>
          </w:p>
        </w:tc>
        <w:tc>
          <w:tcPr>
            <w:tcW w:w="1608" w:type="pct"/>
            <w:shd w:val="clear" w:color="auto" w:fill="auto"/>
            <w:vAlign w:val="center"/>
          </w:tcPr>
          <w:p w14:paraId="0C74160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0B75D60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1.是否已制定或具有相应的预算管理内控制度，包括收入与支出管理、往来资金结算管理、现金及银行存款管理、财务监督管理、政府采购管理、绩效管理等；</w:t>
            </w:r>
          </w:p>
          <w:p w14:paraId="2F3C2AC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2.预算管理制度是否合法、合规、完整。</w:t>
            </w:r>
          </w:p>
          <w:p w14:paraId="7D058C7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4B6F862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1.已制定预算管理内控制度，绩效管理制度，包括收入与支出管理、现金及银行存款管理、财务监督管理，但缺少政府采购管理制度，部分达成，扣0.1分；</w:t>
            </w:r>
          </w:p>
          <w:p w14:paraId="0045C5E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2.预算管理制度合法、合规、完整，达成。</w:t>
            </w:r>
          </w:p>
          <w:p w14:paraId="59B44261">
            <w:pPr>
              <w:pStyle w:val="9"/>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eastAsia="zh-CN"/>
              </w:rPr>
              <w:t>扣分说明：缺少政府采购管理制度，扣</w:t>
            </w:r>
            <w:r>
              <w:rPr>
                <w:rFonts w:hint="eastAsia" w:ascii="仿宋_GB2312" w:hAnsi="仿宋_GB2312" w:eastAsia="仿宋_GB2312" w:cs="仿宋_GB2312"/>
                <w:sz w:val="18"/>
                <w:szCs w:val="18"/>
                <w:highlight w:val="none"/>
                <w:lang w:val="en-US" w:eastAsia="zh-CN"/>
              </w:rPr>
              <w:t>0.1分。</w:t>
            </w:r>
          </w:p>
        </w:tc>
        <w:tc>
          <w:tcPr>
            <w:tcW w:w="233" w:type="pct"/>
            <w:shd w:val="clear" w:color="auto" w:fill="auto"/>
            <w:vAlign w:val="center"/>
          </w:tcPr>
          <w:p w14:paraId="1E04626C">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0.</w:t>
            </w:r>
            <w:r>
              <w:rPr>
                <w:rFonts w:hint="eastAsia" w:ascii="仿宋_GB2312" w:hAnsi="仿宋_GB2312" w:eastAsia="仿宋_GB2312" w:cs="仿宋_GB2312"/>
                <w:sz w:val="18"/>
                <w:szCs w:val="18"/>
                <w:highlight w:val="none"/>
                <w:lang w:eastAsia="zh-CN"/>
              </w:rPr>
              <w:t>9</w:t>
            </w:r>
          </w:p>
        </w:tc>
      </w:tr>
      <w:tr w14:paraId="47EC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7" w:hRule="atLeast"/>
          <w:jc w:val="center"/>
        </w:trPr>
        <w:tc>
          <w:tcPr>
            <w:tcW w:w="254" w:type="pct"/>
            <w:vMerge w:val="continue"/>
            <w:vAlign w:val="center"/>
          </w:tcPr>
          <w:p w14:paraId="3926E7CE">
            <w:pPr>
              <w:pStyle w:val="9"/>
              <w:jc w:val="center"/>
              <w:rPr>
                <w:rFonts w:hint="eastAsia" w:ascii="仿宋_GB2312" w:hAnsi="仿宋_GB2312" w:eastAsia="仿宋_GB2312" w:cs="仿宋_GB2312"/>
                <w:sz w:val="18"/>
                <w:szCs w:val="18"/>
                <w:highlight w:val="none"/>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7092FF62">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5030CEF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B22</w:t>
            </w:r>
          </w:p>
          <w:p w14:paraId="1DBD062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资金使用合规性</w:t>
            </w:r>
          </w:p>
        </w:tc>
        <w:tc>
          <w:tcPr>
            <w:tcW w:w="231" w:type="pct"/>
            <w:shd w:val="clear" w:color="auto" w:fill="auto"/>
            <w:vAlign w:val="center"/>
          </w:tcPr>
          <w:p w14:paraId="41DCE814">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合规</w:t>
            </w:r>
          </w:p>
        </w:tc>
        <w:tc>
          <w:tcPr>
            <w:tcW w:w="151" w:type="pct"/>
            <w:shd w:val="clear" w:color="auto" w:fill="auto"/>
            <w:vAlign w:val="center"/>
          </w:tcPr>
          <w:p w14:paraId="6F0C48F2">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2</w:t>
            </w:r>
          </w:p>
        </w:tc>
        <w:tc>
          <w:tcPr>
            <w:tcW w:w="698" w:type="pct"/>
            <w:shd w:val="clear" w:color="auto" w:fill="auto"/>
            <w:vAlign w:val="center"/>
          </w:tcPr>
          <w:p w14:paraId="7FC20CF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部门使用预算资金是否符合相关的预算财务管理制度的规定，用以反映和考核部门预算资金的规范运行情况。</w:t>
            </w:r>
          </w:p>
        </w:tc>
        <w:tc>
          <w:tcPr>
            <w:tcW w:w="1608" w:type="pct"/>
            <w:shd w:val="clear" w:color="auto" w:fill="auto"/>
            <w:vAlign w:val="center"/>
          </w:tcPr>
          <w:p w14:paraId="159B148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6E536DC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1.是否符合国家财经法规和财务管理制度以及有关专项资</w:t>
            </w:r>
          </w:p>
          <w:p w14:paraId="4096C1D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金管理办法的规定；</w:t>
            </w:r>
          </w:p>
          <w:p w14:paraId="521774B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2.是否存在截留、挤占、挪用、虚列支出等情况；</w:t>
            </w:r>
          </w:p>
          <w:p w14:paraId="046F880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3.资金拨付是否有完整的审批程序和手续；</w:t>
            </w:r>
          </w:p>
          <w:p w14:paraId="5395460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4.公用经费是否存在超标准支出情况，项目支出与公用经费是否存在重复交叉。</w:t>
            </w:r>
          </w:p>
          <w:p w14:paraId="5D71E5B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评分规则：以上评价要点各占1/4分值，每个要点执行情况分为达成、部分达成、未达成三档，分别按分值的100%-80%(含)、80%-60%(含)、60%-0%合理确定分值。</w:t>
            </w:r>
          </w:p>
        </w:tc>
        <w:tc>
          <w:tcPr>
            <w:tcW w:w="1240" w:type="pct"/>
            <w:shd w:val="clear" w:color="auto" w:fill="auto"/>
            <w:vAlign w:val="center"/>
          </w:tcPr>
          <w:p w14:paraId="67C9632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1.符合国家财经法规和财务管理制度以及有关专项资金管理办法的规定；</w:t>
            </w:r>
          </w:p>
          <w:p w14:paraId="1287011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2.不存在截留、挤占、挪用、虚列支出等情况；</w:t>
            </w:r>
          </w:p>
          <w:p w14:paraId="58150AF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3.资金拨付有完整的审批程序和手续；</w:t>
            </w:r>
          </w:p>
          <w:p w14:paraId="7A0C28EF">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4.公用经费不存在超标准支出情况，项目支出与公用经费不存在重复交叉。</w:t>
            </w:r>
          </w:p>
        </w:tc>
        <w:tc>
          <w:tcPr>
            <w:tcW w:w="233" w:type="pct"/>
            <w:shd w:val="clear" w:color="auto" w:fill="auto"/>
            <w:vAlign w:val="center"/>
          </w:tcPr>
          <w:p w14:paraId="75B27287">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2</w:t>
            </w:r>
          </w:p>
        </w:tc>
      </w:tr>
      <w:tr w14:paraId="3330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jc w:val="center"/>
        </w:trPr>
        <w:tc>
          <w:tcPr>
            <w:tcW w:w="254" w:type="pct"/>
            <w:vMerge w:val="continue"/>
            <w:vAlign w:val="center"/>
          </w:tcPr>
          <w:p w14:paraId="574A00E6">
            <w:pPr>
              <w:pStyle w:val="9"/>
              <w:jc w:val="center"/>
              <w:rPr>
                <w:rFonts w:hint="eastAsia" w:ascii="仿宋_GB2312" w:hAnsi="仿宋_GB2312" w:eastAsia="仿宋_GB2312" w:cs="仿宋_GB2312"/>
                <w:sz w:val="18"/>
                <w:szCs w:val="18"/>
                <w:highlight w:val="none"/>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01617E13">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780D29C7">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B23</w:t>
            </w:r>
          </w:p>
          <w:p w14:paraId="7FF4698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绩效管理</w:t>
            </w:r>
          </w:p>
          <w:p w14:paraId="1F5EEBD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覆盖率</w:t>
            </w:r>
          </w:p>
        </w:tc>
        <w:tc>
          <w:tcPr>
            <w:tcW w:w="231" w:type="pct"/>
            <w:shd w:val="clear" w:color="auto" w:fill="auto"/>
            <w:vAlign w:val="center"/>
          </w:tcPr>
          <w:p w14:paraId="482533EA">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1" w:type="pct"/>
            <w:shd w:val="clear" w:color="auto" w:fill="auto"/>
            <w:vAlign w:val="center"/>
          </w:tcPr>
          <w:p w14:paraId="193069A0">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36645BD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部门是否将所有资金纳入全过程预算绩效管理，用以反映和考核部门全面实施预算绩效管理。</w:t>
            </w:r>
          </w:p>
        </w:tc>
        <w:tc>
          <w:tcPr>
            <w:tcW w:w="1608" w:type="pct"/>
            <w:shd w:val="clear" w:color="auto" w:fill="auto"/>
            <w:vAlign w:val="center"/>
          </w:tcPr>
          <w:p w14:paraId="12D3A37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绩效管理覆盖率=(纳入绩效管理预算数/部门整体预算总额)×100%。</w:t>
            </w:r>
          </w:p>
          <w:p w14:paraId="452291C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评分规则：得分=绩效管理覆盖率×分值。</w:t>
            </w:r>
          </w:p>
        </w:tc>
        <w:tc>
          <w:tcPr>
            <w:tcW w:w="1240" w:type="pct"/>
            <w:shd w:val="clear" w:color="auto" w:fill="auto"/>
            <w:vAlign w:val="center"/>
          </w:tcPr>
          <w:p w14:paraId="3180ACAF">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绩效管理覆盖率=(纳入绩效管理预算数</w:t>
            </w:r>
            <w:r>
              <w:rPr>
                <w:rFonts w:hint="eastAsia" w:ascii="仿宋_GB2312" w:hAnsi="仿宋_GB2312" w:eastAsia="仿宋_GB2312" w:cs="仿宋_GB2312"/>
                <w:sz w:val="18"/>
                <w:szCs w:val="18"/>
                <w:highlight w:val="none"/>
                <w:lang w:val="en-US" w:eastAsia="zh-CN"/>
              </w:rPr>
              <w:t>1819.68</w:t>
            </w:r>
            <w:r>
              <w:rPr>
                <w:rFonts w:hint="eastAsia" w:ascii="仿宋_GB2312" w:hAnsi="仿宋_GB2312" w:eastAsia="仿宋_GB2312" w:cs="仿宋_GB2312"/>
                <w:sz w:val="18"/>
                <w:szCs w:val="18"/>
                <w:highlight w:val="none"/>
                <w:lang w:eastAsia="zh-CN"/>
              </w:rPr>
              <w:t>万元/部门整体预算总额</w:t>
            </w:r>
            <w:r>
              <w:rPr>
                <w:rFonts w:hint="eastAsia" w:ascii="仿宋_GB2312" w:hAnsi="仿宋_GB2312" w:eastAsia="仿宋_GB2312" w:cs="仿宋_GB2312"/>
                <w:sz w:val="18"/>
                <w:szCs w:val="18"/>
                <w:highlight w:val="none"/>
                <w:lang w:val="en-US" w:eastAsia="zh-CN"/>
              </w:rPr>
              <w:t>1819.68</w:t>
            </w:r>
            <w:r>
              <w:rPr>
                <w:rFonts w:hint="eastAsia" w:ascii="仿宋_GB2312" w:hAnsi="仿宋_GB2312" w:eastAsia="仿宋_GB2312" w:cs="仿宋_GB2312"/>
                <w:sz w:val="18"/>
                <w:szCs w:val="18"/>
                <w:highlight w:val="none"/>
                <w:lang w:eastAsia="zh-CN"/>
              </w:rPr>
              <w:t>万元)×100%=100%。</w:t>
            </w:r>
          </w:p>
        </w:tc>
        <w:tc>
          <w:tcPr>
            <w:tcW w:w="233" w:type="pct"/>
            <w:shd w:val="clear" w:color="auto" w:fill="auto"/>
            <w:vAlign w:val="center"/>
          </w:tcPr>
          <w:p w14:paraId="42FBB63A">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7B224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254" w:type="pct"/>
            <w:vMerge w:val="continue"/>
            <w:vAlign w:val="center"/>
          </w:tcPr>
          <w:p w14:paraId="4E5E00E6">
            <w:pPr>
              <w:pStyle w:val="9"/>
              <w:jc w:val="center"/>
              <w:rPr>
                <w:rFonts w:hint="eastAsia" w:ascii="仿宋_GB2312" w:hAnsi="仿宋_GB2312" w:eastAsia="仿宋_GB2312" w:cs="仿宋_GB2312"/>
                <w:sz w:val="18"/>
                <w:szCs w:val="18"/>
                <w:highlight w:val="none"/>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53C35439">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1981BE34">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B24</w:t>
            </w:r>
          </w:p>
          <w:p w14:paraId="5F72FF0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基础信息完善性</w:t>
            </w:r>
          </w:p>
        </w:tc>
        <w:tc>
          <w:tcPr>
            <w:tcW w:w="231" w:type="pct"/>
            <w:shd w:val="clear" w:color="auto" w:fill="auto"/>
            <w:vAlign w:val="center"/>
          </w:tcPr>
          <w:p w14:paraId="458D6A0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完善</w:t>
            </w:r>
          </w:p>
        </w:tc>
        <w:tc>
          <w:tcPr>
            <w:tcW w:w="151" w:type="pct"/>
            <w:shd w:val="clear" w:color="auto" w:fill="auto"/>
            <w:vAlign w:val="center"/>
          </w:tcPr>
          <w:p w14:paraId="5841093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4789E4C6">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部门预算编制基础信息是否完善，用以反映和考核基础信息对预算管理工作的支撑情况。</w:t>
            </w:r>
          </w:p>
        </w:tc>
        <w:tc>
          <w:tcPr>
            <w:tcW w:w="1608" w:type="pct"/>
            <w:shd w:val="clear" w:color="auto" w:fill="auto"/>
            <w:vAlign w:val="center"/>
          </w:tcPr>
          <w:p w14:paraId="46C6517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0ED5DC2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1.基本财务管理制度健全；</w:t>
            </w:r>
          </w:p>
          <w:p w14:paraId="2BE8565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2.基础数据信息和会计信息资料是否真实、完整、准确。</w:t>
            </w:r>
          </w:p>
          <w:p w14:paraId="3D6FB00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754CE04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1.基本财务管理制度健全，达成；</w:t>
            </w:r>
          </w:p>
          <w:p w14:paraId="19AF859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2.基础数据信息和会计信息资料完整，达成。</w:t>
            </w:r>
          </w:p>
        </w:tc>
        <w:tc>
          <w:tcPr>
            <w:tcW w:w="233" w:type="pct"/>
            <w:shd w:val="clear" w:color="auto" w:fill="auto"/>
            <w:vAlign w:val="center"/>
          </w:tcPr>
          <w:p w14:paraId="3075D33C">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1</w:t>
            </w:r>
          </w:p>
        </w:tc>
      </w:tr>
      <w:tr w14:paraId="15F57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254" w:type="pct"/>
            <w:vMerge w:val="continue"/>
            <w:vAlign w:val="center"/>
          </w:tcPr>
          <w:p w14:paraId="29E4C4C8">
            <w:pPr>
              <w:pStyle w:val="9"/>
              <w:jc w:val="center"/>
              <w:rPr>
                <w:rFonts w:hint="eastAsia" w:ascii="仿宋_GB2312" w:hAnsi="仿宋_GB2312" w:eastAsia="仿宋_GB2312" w:cs="仿宋_GB2312"/>
                <w:sz w:val="18"/>
                <w:szCs w:val="18"/>
                <w:highlight w:val="none"/>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69B2167B">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6AFEB624">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B25</w:t>
            </w:r>
          </w:p>
          <w:p w14:paraId="7A6CB1C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预决算信息公开度</w:t>
            </w:r>
          </w:p>
        </w:tc>
        <w:tc>
          <w:tcPr>
            <w:tcW w:w="231" w:type="pct"/>
            <w:shd w:val="clear" w:color="auto" w:fill="auto"/>
            <w:vAlign w:val="center"/>
          </w:tcPr>
          <w:p w14:paraId="2F73C3A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公开</w:t>
            </w:r>
          </w:p>
        </w:tc>
        <w:tc>
          <w:tcPr>
            <w:tcW w:w="151" w:type="pct"/>
            <w:shd w:val="clear" w:color="auto" w:fill="auto"/>
            <w:vAlign w:val="center"/>
          </w:tcPr>
          <w:p w14:paraId="5CDB8C00">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77C1BA6F">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部门是否按照政府信息公开有关规定公开相关预决算信息，用以反映和考核部门预决算管理的公开透明情况。</w:t>
            </w:r>
          </w:p>
        </w:tc>
        <w:tc>
          <w:tcPr>
            <w:tcW w:w="1608" w:type="pct"/>
            <w:shd w:val="clear" w:color="auto" w:fill="auto"/>
            <w:vAlign w:val="center"/>
          </w:tcPr>
          <w:p w14:paraId="56B5B75B">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1B5DE5A0">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1.是否按规定内容公开预决算信息；</w:t>
            </w:r>
          </w:p>
          <w:p w14:paraId="608F988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2.是否按规定时限公开预决算信息。</w:t>
            </w:r>
          </w:p>
          <w:p w14:paraId="009F79E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2AA4948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1.按规定内容公开预决算信息，达成；</w:t>
            </w:r>
          </w:p>
          <w:p w14:paraId="31F90B6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2.按规定时限公开预决算信息，达成。</w:t>
            </w:r>
          </w:p>
        </w:tc>
        <w:tc>
          <w:tcPr>
            <w:tcW w:w="233" w:type="pct"/>
            <w:shd w:val="clear" w:color="auto" w:fill="auto"/>
            <w:vAlign w:val="center"/>
          </w:tcPr>
          <w:p w14:paraId="11293ADA">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15319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254" w:type="pct"/>
            <w:vMerge w:val="continue"/>
            <w:vAlign w:val="center"/>
          </w:tcPr>
          <w:p w14:paraId="108C11FA">
            <w:pPr>
              <w:pStyle w:val="9"/>
              <w:jc w:val="center"/>
              <w:rPr>
                <w:rFonts w:hint="eastAsia" w:ascii="仿宋_GB2312" w:hAnsi="仿宋_GB2312" w:eastAsia="仿宋_GB2312" w:cs="仿宋_GB2312"/>
                <w:sz w:val="18"/>
                <w:szCs w:val="18"/>
                <w:highlight w:val="none"/>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68234A01">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595BC77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eastAsia="zh-CN"/>
              </w:rPr>
              <w:t>B</w:t>
            </w:r>
            <w:r>
              <w:rPr>
                <w:rFonts w:hint="eastAsia" w:ascii="仿宋_GB2312" w:hAnsi="仿宋_GB2312" w:eastAsia="仿宋_GB2312" w:cs="仿宋_GB2312"/>
                <w:sz w:val="18"/>
                <w:szCs w:val="18"/>
                <w:highlight w:val="none"/>
              </w:rPr>
              <w:t>26</w:t>
            </w:r>
          </w:p>
          <w:p w14:paraId="17763C7F">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非税收</w:t>
            </w:r>
            <w:r>
              <w:rPr>
                <w:rFonts w:hint="eastAsia" w:ascii="仿宋_GB2312" w:hAnsi="仿宋_GB2312" w:eastAsia="仿宋_GB2312" w:cs="仿宋_GB2312"/>
                <w:sz w:val="18"/>
                <w:szCs w:val="18"/>
                <w:highlight w:val="none"/>
                <w:lang w:eastAsia="zh-CN"/>
              </w:rPr>
              <w:t>入管</w:t>
            </w:r>
          </w:p>
          <w:p w14:paraId="118BDD98">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理合规性</w:t>
            </w:r>
          </w:p>
        </w:tc>
        <w:tc>
          <w:tcPr>
            <w:tcW w:w="231" w:type="pct"/>
            <w:shd w:val="clear" w:color="auto" w:fill="auto"/>
            <w:vAlign w:val="center"/>
          </w:tcPr>
          <w:p w14:paraId="547ECDD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合规</w:t>
            </w:r>
          </w:p>
        </w:tc>
        <w:tc>
          <w:tcPr>
            <w:tcW w:w="151" w:type="pct"/>
            <w:shd w:val="clear" w:color="auto" w:fill="auto"/>
            <w:vAlign w:val="center"/>
          </w:tcPr>
          <w:p w14:paraId="79AD3F1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5F0050B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部门非税收入资金管理是</w:t>
            </w:r>
          </w:p>
          <w:p w14:paraId="0C7256B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否符合相关的制度规定，用以反映和考核部门非税收入管理合规性情况。</w:t>
            </w:r>
          </w:p>
        </w:tc>
        <w:tc>
          <w:tcPr>
            <w:tcW w:w="1608" w:type="pct"/>
            <w:shd w:val="clear" w:color="auto" w:fill="auto"/>
            <w:vAlign w:val="center"/>
          </w:tcPr>
          <w:p w14:paraId="64B4261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7B998D6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1.非税收入征收是否做到依法征收、应收尽收；</w:t>
            </w:r>
          </w:p>
          <w:p w14:paraId="3090C8E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2.非税收入是否按规定缴入国库或财政专户，是否存在截留、挪用等情况。</w:t>
            </w:r>
          </w:p>
          <w:p w14:paraId="28F9B2C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02BCC4E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1.非税收入征收做到依法征收、应收尽收，达成；</w:t>
            </w:r>
          </w:p>
          <w:p w14:paraId="295A58E6">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2.非税收入按规定缴入国库或财政专户，不存在截留挪用等情况，达成。</w:t>
            </w:r>
          </w:p>
        </w:tc>
        <w:tc>
          <w:tcPr>
            <w:tcW w:w="233" w:type="pct"/>
            <w:shd w:val="clear" w:color="auto" w:fill="auto"/>
            <w:vAlign w:val="center"/>
          </w:tcPr>
          <w:p w14:paraId="62739963">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rPr>
              <w:t>1</w:t>
            </w:r>
          </w:p>
        </w:tc>
      </w:tr>
      <w:tr w14:paraId="250E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254" w:type="pct"/>
            <w:vMerge w:val="continue"/>
            <w:vAlign w:val="center"/>
          </w:tcPr>
          <w:p w14:paraId="1A0779E5">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right w:val="single" w:color="auto" w:sz="4" w:space="0"/>
            </w:tcBorders>
            <w:vAlign w:val="center"/>
          </w:tcPr>
          <w:p w14:paraId="2D560CA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B3</w:t>
            </w:r>
          </w:p>
          <w:p w14:paraId="54A8AC1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资产管理</w:t>
            </w:r>
          </w:p>
          <w:p w14:paraId="74CFC41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w:t>
            </w:r>
          </w:p>
        </w:tc>
        <w:tc>
          <w:tcPr>
            <w:tcW w:w="284" w:type="pct"/>
            <w:tcBorders>
              <w:left w:val="single" w:color="auto" w:sz="4" w:space="0"/>
            </w:tcBorders>
            <w:shd w:val="clear" w:color="auto" w:fill="auto"/>
            <w:vAlign w:val="center"/>
          </w:tcPr>
          <w:p w14:paraId="0C82696F">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B31</w:t>
            </w:r>
          </w:p>
          <w:p w14:paraId="1A48C739">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资产管理制度健全性</w:t>
            </w:r>
          </w:p>
        </w:tc>
        <w:tc>
          <w:tcPr>
            <w:tcW w:w="231" w:type="pct"/>
            <w:shd w:val="clear" w:color="auto" w:fill="auto"/>
            <w:vAlign w:val="center"/>
          </w:tcPr>
          <w:p w14:paraId="396CC24A">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健全</w:t>
            </w:r>
          </w:p>
        </w:tc>
        <w:tc>
          <w:tcPr>
            <w:tcW w:w="151" w:type="pct"/>
            <w:shd w:val="clear" w:color="auto" w:fill="auto"/>
            <w:vAlign w:val="center"/>
          </w:tcPr>
          <w:p w14:paraId="1FED56A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2BA4754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部门为加强资产管理、规范资产管理行为而制定的管理制度是否完美.用以反映和考核部门资产管理制度对完成主要职责或促进社会发展的保障情况。</w:t>
            </w:r>
          </w:p>
        </w:tc>
        <w:tc>
          <w:tcPr>
            <w:tcW w:w="1608" w:type="pct"/>
            <w:shd w:val="clear" w:color="auto" w:fill="auto"/>
            <w:vAlign w:val="center"/>
          </w:tcPr>
          <w:p w14:paraId="08DA71F6">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76E44EF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1.是否已制定或具有资产管理制度；</w:t>
            </w:r>
          </w:p>
          <w:p w14:paraId="125889B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2.相关资产管理制度是否合法、合规、完整。</w:t>
            </w:r>
          </w:p>
          <w:p w14:paraId="70F1229B">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7A357FC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1.在制定的财务管理制度中有资产管理章节，达成；</w:t>
            </w:r>
          </w:p>
          <w:p w14:paraId="03680A5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2.相关资产管理制度合法、合规，完整，达成。</w:t>
            </w:r>
          </w:p>
        </w:tc>
        <w:tc>
          <w:tcPr>
            <w:tcW w:w="233" w:type="pct"/>
            <w:shd w:val="clear" w:color="auto" w:fill="auto"/>
            <w:vAlign w:val="center"/>
          </w:tcPr>
          <w:p w14:paraId="002BF258">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1</w:t>
            </w:r>
          </w:p>
        </w:tc>
      </w:tr>
      <w:tr w14:paraId="18DBA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jc w:val="center"/>
        </w:trPr>
        <w:tc>
          <w:tcPr>
            <w:tcW w:w="254" w:type="pct"/>
            <w:vMerge w:val="continue"/>
            <w:vAlign w:val="center"/>
          </w:tcPr>
          <w:p w14:paraId="5E26D01C">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1FCE613F">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08837A9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B32</w:t>
            </w:r>
          </w:p>
          <w:p w14:paraId="6373F02C">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资产管理</w:t>
            </w:r>
          </w:p>
          <w:p w14:paraId="5FD24ABF">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规范性</w:t>
            </w:r>
          </w:p>
        </w:tc>
        <w:tc>
          <w:tcPr>
            <w:tcW w:w="231" w:type="pct"/>
            <w:shd w:val="clear" w:color="auto" w:fill="auto"/>
            <w:vAlign w:val="center"/>
          </w:tcPr>
          <w:p w14:paraId="2B20FD57">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规范</w:t>
            </w:r>
          </w:p>
        </w:tc>
        <w:tc>
          <w:tcPr>
            <w:tcW w:w="151" w:type="pct"/>
            <w:shd w:val="clear" w:color="auto" w:fill="auto"/>
            <w:vAlign w:val="center"/>
          </w:tcPr>
          <w:p w14:paraId="37D096C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267F1C25">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部门的资产是否保存完整、使用合规、配置合理、处置规范、收入及时足额上缴，用以反映和考核部门资产安全运行情况。</w:t>
            </w:r>
          </w:p>
        </w:tc>
        <w:tc>
          <w:tcPr>
            <w:tcW w:w="1608" w:type="pct"/>
            <w:shd w:val="clear" w:color="auto" w:fill="auto"/>
            <w:vAlign w:val="center"/>
          </w:tcPr>
          <w:p w14:paraId="44D1F04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4D78621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1.资产购置是否符合规定，新购资产入库管理是否规范(如编制采购计划、进行采购审核、验收等);</w:t>
            </w:r>
          </w:p>
          <w:p w14:paraId="433C4F1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2.是否定期对现有资产进行清查统计，是否账实相符；</w:t>
            </w:r>
          </w:p>
          <w:p w14:paraId="1E0DBB8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3.资产有偿使用和资产处置是否规范，所获收入是否及时足额上缴。</w:t>
            </w:r>
          </w:p>
          <w:p w14:paraId="12B31230">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评分规则：以上评价要点各占1/3分值，每个要点执行情况分为达成、部分达成、未达成三档，分别按分值的100%-80%(含)、80%-60%(含)、60%-0%合理确定分值。</w:t>
            </w:r>
          </w:p>
        </w:tc>
        <w:tc>
          <w:tcPr>
            <w:tcW w:w="1240" w:type="pct"/>
            <w:shd w:val="clear" w:color="auto" w:fill="auto"/>
            <w:vAlign w:val="center"/>
          </w:tcPr>
          <w:p w14:paraId="721DB7B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1.资产购置符合规定，202</w:t>
            </w:r>
            <w:r>
              <w:rPr>
                <w:rFonts w:hint="eastAsia" w:ascii="仿宋_GB2312" w:hAnsi="仿宋_GB2312" w:eastAsia="仿宋_GB2312" w:cs="仿宋_GB2312"/>
                <w:sz w:val="18"/>
                <w:szCs w:val="18"/>
                <w:highlight w:val="none"/>
                <w:lang w:val="en-US" w:eastAsia="zh-CN"/>
              </w:rPr>
              <w:t>4</w:t>
            </w:r>
            <w:r>
              <w:rPr>
                <w:rFonts w:hint="eastAsia" w:ascii="仿宋_GB2312" w:hAnsi="仿宋_GB2312" w:eastAsia="仿宋_GB2312" w:cs="仿宋_GB2312"/>
                <w:sz w:val="18"/>
                <w:szCs w:val="18"/>
                <w:highlight w:val="none"/>
                <w:lang w:eastAsia="zh-CN"/>
              </w:rPr>
              <w:t>年无新购资产,达成；</w:t>
            </w:r>
          </w:p>
          <w:p w14:paraId="0E8D913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2.定期对现有资产进行清查统计，账实相符，达成；</w:t>
            </w:r>
          </w:p>
          <w:p w14:paraId="576341D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3.资产有偿使用和资产处置规范，所获收入及时足额上缴，达成。</w:t>
            </w:r>
          </w:p>
        </w:tc>
        <w:tc>
          <w:tcPr>
            <w:tcW w:w="233" w:type="pct"/>
            <w:shd w:val="clear" w:color="auto" w:fill="auto"/>
            <w:vAlign w:val="center"/>
          </w:tcPr>
          <w:p w14:paraId="03FF4B8E">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0E585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254" w:type="pct"/>
            <w:vMerge w:val="continue"/>
            <w:vAlign w:val="center"/>
          </w:tcPr>
          <w:p w14:paraId="09C0F8C3">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59EA19AC">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65D0BB6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B33</w:t>
            </w:r>
          </w:p>
          <w:p w14:paraId="5D129C44">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固定资产</w:t>
            </w:r>
          </w:p>
          <w:p w14:paraId="071B8B12">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利用率</w:t>
            </w:r>
          </w:p>
        </w:tc>
        <w:tc>
          <w:tcPr>
            <w:tcW w:w="231" w:type="pct"/>
            <w:shd w:val="clear" w:color="auto" w:fill="auto"/>
            <w:vAlign w:val="center"/>
          </w:tcPr>
          <w:p w14:paraId="24343ED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1" w:type="pct"/>
            <w:shd w:val="clear" w:color="auto" w:fill="auto"/>
            <w:vAlign w:val="center"/>
          </w:tcPr>
          <w:p w14:paraId="2ACCD67A">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384847F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部门实际在用固定资产总额与所有固定资产总额的比率，用以反映和考核部门固定资产使用效率。</w:t>
            </w:r>
          </w:p>
        </w:tc>
        <w:tc>
          <w:tcPr>
            <w:tcW w:w="1608" w:type="pct"/>
            <w:shd w:val="clear" w:color="auto" w:fill="auto"/>
            <w:vAlign w:val="center"/>
          </w:tcPr>
          <w:p w14:paraId="71F95A27">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固定资产利用率=(实际在用固定资产账面总额/所有固定资产账面总额)×100%。</w:t>
            </w:r>
          </w:p>
          <w:p w14:paraId="3DBA6AC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评分规则：得分=固定资产利用率×分值。</w:t>
            </w:r>
          </w:p>
        </w:tc>
        <w:tc>
          <w:tcPr>
            <w:tcW w:w="1240" w:type="pct"/>
            <w:shd w:val="clear" w:color="auto" w:fill="auto"/>
            <w:vAlign w:val="center"/>
          </w:tcPr>
          <w:p w14:paraId="21D87635">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固定资产利用率=(实际在用固定资产账面总额</w:t>
            </w:r>
            <w:r>
              <w:rPr>
                <w:rFonts w:hint="eastAsia" w:ascii="仿宋_GB2312" w:hAnsi="仿宋_GB2312" w:eastAsia="仿宋_GB2312" w:cs="仿宋_GB2312"/>
                <w:sz w:val="18"/>
                <w:szCs w:val="18"/>
                <w:highlight w:val="none"/>
                <w:lang w:val="en-US" w:eastAsia="zh-CN"/>
              </w:rPr>
              <w:t>562.22</w:t>
            </w:r>
            <w:r>
              <w:rPr>
                <w:rFonts w:hint="eastAsia" w:ascii="仿宋_GB2312" w:hAnsi="仿宋_GB2312" w:eastAsia="仿宋_GB2312" w:cs="仿宋_GB2312"/>
                <w:sz w:val="18"/>
                <w:szCs w:val="18"/>
                <w:highlight w:val="none"/>
                <w:lang w:eastAsia="zh-CN"/>
              </w:rPr>
              <w:t>万元/所有固定资产账面总额</w:t>
            </w:r>
            <w:r>
              <w:rPr>
                <w:rFonts w:hint="eastAsia" w:ascii="仿宋_GB2312" w:hAnsi="仿宋_GB2312" w:eastAsia="仿宋_GB2312" w:cs="仿宋_GB2312"/>
                <w:sz w:val="18"/>
                <w:szCs w:val="18"/>
                <w:highlight w:val="none"/>
                <w:lang w:val="en-US" w:eastAsia="zh-CN"/>
              </w:rPr>
              <w:t>562.22</w:t>
            </w:r>
            <w:r>
              <w:rPr>
                <w:rFonts w:hint="eastAsia" w:ascii="仿宋_GB2312" w:hAnsi="仿宋_GB2312" w:eastAsia="仿宋_GB2312" w:cs="仿宋_GB2312"/>
                <w:sz w:val="18"/>
                <w:szCs w:val="18"/>
                <w:highlight w:val="none"/>
                <w:lang w:eastAsia="zh-CN"/>
              </w:rPr>
              <w:t>万元)×100%=100%。</w:t>
            </w:r>
          </w:p>
        </w:tc>
        <w:tc>
          <w:tcPr>
            <w:tcW w:w="233" w:type="pct"/>
            <w:shd w:val="clear" w:color="auto" w:fill="auto"/>
            <w:vAlign w:val="center"/>
          </w:tcPr>
          <w:p w14:paraId="4A65B8E8">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7C8C0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254" w:type="pct"/>
            <w:vMerge w:val="continue"/>
            <w:vAlign w:val="center"/>
          </w:tcPr>
          <w:p w14:paraId="4274121E">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right w:val="single" w:color="auto" w:sz="4" w:space="0"/>
            </w:tcBorders>
            <w:vAlign w:val="center"/>
          </w:tcPr>
          <w:p w14:paraId="0ED14680">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B4</w:t>
            </w:r>
          </w:p>
          <w:p w14:paraId="045BE7F6">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项目管理</w:t>
            </w:r>
          </w:p>
          <w:p w14:paraId="0A4D538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w:t>
            </w:r>
          </w:p>
        </w:tc>
        <w:tc>
          <w:tcPr>
            <w:tcW w:w="284" w:type="pct"/>
            <w:tcBorders>
              <w:left w:val="single" w:color="auto" w:sz="4" w:space="0"/>
            </w:tcBorders>
            <w:shd w:val="clear" w:color="auto" w:fill="auto"/>
            <w:vAlign w:val="center"/>
          </w:tcPr>
          <w:p w14:paraId="6C72D626">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B41</w:t>
            </w:r>
          </w:p>
          <w:p w14:paraId="4DA33DA3">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项目管理制度健全性</w:t>
            </w:r>
          </w:p>
        </w:tc>
        <w:tc>
          <w:tcPr>
            <w:tcW w:w="231" w:type="pct"/>
            <w:shd w:val="clear" w:color="auto" w:fill="auto"/>
            <w:vAlign w:val="center"/>
          </w:tcPr>
          <w:p w14:paraId="45B8275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健全</w:t>
            </w:r>
          </w:p>
        </w:tc>
        <w:tc>
          <w:tcPr>
            <w:tcW w:w="151" w:type="pct"/>
            <w:shd w:val="clear" w:color="auto" w:fill="auto"/>
            <w:vAlign w:val="center"/>
          </w:tcPr>
          <w:p w14:paraId="7B638C88">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3A148EC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部门项目管理制度是否健全，用以反映和考核部门项目管理制度对项目顺利实施的保障情况。</w:t>
            </w:r>
          </w:p>
        </w:tc>
        <w:tc>
          <w:tcPr>
            <w:tcW w:w="1608" w:type="pct"/>
            <w:shd w:val="clear" w:color="auto" w:fill="auto"/>
            <w:vAlign w:val="center"/>
          </w:tcPr>
          <w:p w14:paraId="641E601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3C57BCA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1.是否已制定或具有相应的项目管理制度；</w:t>
            </w:r>
          </w:p>
          <w:p w14:paraId="59B40EF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2.项目管理制度是否合法、合规、完整。</w:t>
            </w:r>
          </w:p>
          <w:p w14:paraId="01977BFA">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5CE0A88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1.已制定相应的项目管理制度，如《南京仲裁委仲裁员办案报酬管理办法》等，达成；</w:t>
            </w:r>
          </w:p>
          <w:p w14:paraId="09DCF460">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2.项目管理制度是否合法、合规、完整，达成。</w:t>
            </w:r>
          </w:p>
        </w:tc>
        <w:tc>
          <w:tcPr>
            <w:tcW w:w="233" w:type="pct"/>
            <w:shd w:val="clear" w:color="auto" w:fill="auto"/>
            <w:vAlign w:val="center"/>
          </w:tcPr>
          <w:p w14:paraId="4FAA0E37">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1</w:t>
            </w:r>
          </w:p>
        </w:tc>
      </w:tr>
      <w:tr w14:paraId="7CF4F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254" w:type="pct"/>
            <w:vMerge w:val="continue"/>
            <w:vAlign w:val="center"/>
          </w:tcPr>
          <w:p w14:paraId="34533F32">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2EF3F539">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3245F90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B42</w:t>
            </w:r>
          </w:p>
          <w:p w14:paraId="323A1E0B">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项目管理</w:t>
            </w:r>
          </w:p>
          <w:p w14:paraId="32C7C71A">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制度执行</w:t>
            </w:r>
          </w:p>
          <w:p w14:paraId="60D7F20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规范性</w:t>
            </w:r>
          </w:p>
        </w:tc>
        <w:tc>
          <w:tcPr>
            <w:tcW w:w="231" w:type="pct"/>
            <w:shd w:val="clear" w:color="auto" w:fill="auto"/>
            <w:vAlign w:val="center"/>
          </w:tcPr>
          <w:p w14:paraId="74385104">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规范</w:t>
            </w:r>
          </w:p>
        </w:tc>
        <w:tc>
          <w:tcPr>
            <w:tcW w:w="151" w:type="pct"/>
            <w:shd w:val="clear" w:color="auto" w:fill="auto"/>
            <w:vAlign w:val="center"/>
          </w:tcPr>
          <w:p w14:paraId="15149E2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2</w:t>
            </w:r>
          </w:p>
        </w:tc>
        <w:tc>
          <w:tcPr>
            <w:tcW w:w="698" w:type="pct"/>
            <w:shd w:val="clear" w:color="auto" w:fill="auto"/>
            <w:vAlign w:val="center"/>
          </w:tcPr>
          <w:p w14:paraId="2612314B">
            <w:pPr>
              <w:pStyle w:val="9"/>
              <w:rPr>
                <w:rFonts w:hint="eastAsia" w:ascii="仿宋_GB2312" w:hAnsi="仿宋_GB2312" w:eastAsia="仿宋_GB2312" w:cs="仿宋_GB2312"/>
                <w:sz w:val="18"/>
                <w:szCs w:val="18"/>
                <w:highlight w:val="none"/>
                <w:lang w:eastAsia="zh-CN"/>
              </w:rPr>
            </w:pPr>
          </w:p>
          <w:p w14:paraId="464D021C">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项目实施是否符合相关管理规定，用以反映和考核相关管理制度的规范执行情况。</w:t>
            </w:r>
          </w:p>
        </w:tc>
        <w:tc>
          <w:tcPr>
            <w:tcW w:w="1608" w:type="pct"/>
            <w:shd w:val="clear" w:color="auto" w:fill="auto"/>
            <w:vAlign w:val="center"/>
          </w:tcPr>
          <w:p w14:paraId="66AC090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5838F2E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1.项目管理工作机制是否健全，沟通协调是否顺畅；</w:t>
            </w:r>
          </w:p>
          <w:p w14:paraId="21F8740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2.项目是否按照要求规范严格执行制度，包括可们性论证、概算、预算、施工设计、资金拨付、组织申报、政府采购、招投标、监理、中期检查、竣工验收、公开公示等。</w:t>
            </w:r>
          </w:p>
          <w:p w14:paraId="4D632AC6">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0DE24CD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1.项目管理工作机制健全，沟通协调顺畅，达成；</w:t>
            </w:r>
          </w:p>
          <w:p w14:paraId="07F2EDE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2.项目按照要求规范严格地执行制度，包括可行性论证、概算、预算、施工设计、资金拨付、组织申报、政府采购、招投标、监理、中期检查、竣工验收、公开公示等，达成。</w:t>
            </w:r>
          </w:p>
        </w:tc>
        <w:tc>
          <w:tcPr>
            <w:tcW w:w="233" w:type="pct"/>
            <w:shd w:val="clear" w:color="auto" w:fill="auto"/>
            <w:vAlign w:val="center"/>
          </w:tcPr>
          <w:p w14:paraId="4020080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2</w:t>
            </w:r>
          </w:p>
        </w:tc>
      </w:tr>
      <w:tr w14:paraId="65A50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254" w:type="pct"/>
            <w:vMerge w:val="continue"/>
            <w:vAlign w:val="center"/>
          </w:tcPr>
          <w:p w14:paraId="756B54A3">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right w:val="single" w:color="auto" w:sz="4" w:space="0"/>
            </w:tcBorders>
            <w:vAlign w:val="center"/>
          </w:tcPr>
          <w:p w14:paraId="79D3B4D4">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B5</w:t>
            </w:r>
          </w:p>
          <w:p w14:paraId="3055D01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人员管理</w:t>
            </w:r>
          </w:p>
          <w:p w14:paraId="570311C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w:t>
            </w:r>
          </w:p>
        </w:tc>
        <w:tc>
          <w:tcPr>
            <w:tcW w:w="284" w:type="pct"/>
            <w:tcBorders>
              <w:left w:val="single" w:color="auto" w:sz="4" w:space="0"/>
            </w:tcBorders>
            <w:shd w:val="clear" w:color="auto" w:fill="auto"/>
            <w:vAlign w:val="center"/>
          </w:tcPr>
          <w:p w14:paraId="2D3932C8">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B51</w:t>
            </w:r>
          </w:p>
          <w:p w14:paraId="2CB8C55D">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人员管理</w:t>
            </w:r>
          </w:p>
          <w:p w14:paraId="40E5DB88">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制度健全</w:t>
            </w:r>
          </w:p>
          <w:p w14:paraId="68185B77">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性</w:t>
            </w:r>
          </w:p>
        </w:tc>
        <w:tc>
          <w:tcPr>
            <w:tcW w:w="231" w:type="pct"/>
            <w:shd w:val="clear" w:color="auto" w:fill="auto"/>
            <w:vAlign w:val="center"/>
          </w:tcPr>
          <w:p w14:paraId="22C3A644">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健全</w:t>
            </w:r>
          </w:p>
        </w:tc>
        <w:tc>
          <w:tcPr>
            <w:tcW w:w="151" w:type="pct"/>
            <w:shd w:val="clear" w:color="auto" w:fill="auto"/>
            <w:vAlign w:val="center"/>
          </w:tcPr>
          <w:p w14:paraId="6C456A50">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20C0D3C3">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部门人员管理制度是否健全，用以反映和考核部门人员管理制度对部门正常运行、履职的保障情况。</w:t>
            </w:r>
          </w:p>
        </w:tc>
        <w:tc>
          <w:tcPr>
            <w:tcW w:w="1608" w:type="pct"/>
            <w:shd w:val="clear" w:color="auto" w:fill="auto"/>
            <w:vAlign w:val="center"/>
          </w:tcPr>
          <w:p w14:paraId="4CD2259C">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1E8F919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1.有明确的组织架构和职责分工；</w:t>
            </w:r>
          </w:p>
          <w:p w14:paraId="405626BF">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2.人员配备是否充足，是否能够保障单位履职需要；</w:t>
            </w:r>
          </w:p>
          <w:p w14:paraId="0DBEE18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3.是否存在以政府购买服务变相用工情况。</w:t>
            </w:r>
          </w:p>
          <w:p w14:paraId="5D4168A1">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评分规则：以上评价要点各占1/3分值，每个要点执行情况分为达成、部分达成、未达成三档，分别按分值的100%-80%(含)、80%-60%(含)、60%-0%合理确定分值。</w:t>
            </w:r>
          </w:p>
        </w:tc>
        <w:tc>
          <w:tcPr>
            <w:tcW w:w="1240" w:type="pct"/>
            <w:shd w:val="clear" w:color="auto" w:fill="auto"/>
            <w:vAlign w:val="center"/>
          </w:tcPr>
          <w:p w14:paraId="6450265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1.有明确的组织架构和职责分工，达成</w:t>
            </w:r>
          </w:p>
          <w:p w14:paraId="32AB84B5">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2.人员退休</w:t>
            </w:r>
            <w:r>
              <w:rPr>
                <w:rFonts w:hint="eastAsia" w:ascii="仿宋_GB2312" w:hAnsi="仿宋_GB2312" w:eastAsia="仿宋_GB2312" w:cs="仿宋_GB2312"/>
                <w:sz w:val="18"/>
                <w:szCs w:val="18"/>
                <w:highlight w:val="none"/>
                <w:lang w:val="en-US" w:eastAsia="zh-CN"/>
              </w:rPr>
              <w:t>2人，</w:t>
            </w:r>
            <w:r>
              <w:rPr>
                <w:rFonts w:hint="eastAsia" w:ascii="仿宋_GB2312" w:hAnsi="仿宋_GB2312" w:eastAsia="仿宋_GB2312" w:cs="仿宋_GB2312"/>
                <w:sz w:val="18"/>
                <w:szCs w:val="18"/>
                <w:highlight w:val="none"/>
                <w:lang w:eastAsia="zh-CN"/>
              </w:rPr>
              <w:t>基本能够保障单位履职需要，达成；</w:t>
            </w:r>
          </w:p>
          <w:p w14:paraId="24DB03FF">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3.不存在以政府购买服务变相用工情况，达成。</w:t>
            </w:r>
          </w:p>
        </w:tc>
        <w:tc>
          <w:tcPr>
            <w:tcW w:w="233" w:type="pct"/>
            <w:shd w:val="clear" w:color="auto" w:fill="auto"/>
            <w:vAlign w:val="center"/>
          </w:tcPr>
          <w:p w14:paraId="5206215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53AEE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254" w:type="pct"/>
            <w:vMerge w:val="continue"/>
            <w:vAlign w:val="center"/>
          </w:tcPr>
          <w:p w14:paraId="346D51F5">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020AF288">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033A83F9">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B52</w:t>
            </w:r>
          </w:p>
          <w:p w14:paraId="4FDBA976">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人员管理</w:t>
            </w:r>
          </w:p>
          <w:p w14:paraId="41A6FB0B">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制度执行</w:t>
            </w:r>
          </w:p>
          <w:p w14:paraId="47C3B88E">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有效性</w:t>
            </w:r>
          </w:p>
        </w:tc>
        <w:tc>
          <w:tcPr>
            <w:tcW w:w="231" w:type="pct"/>
            <w:shd w:val="clear" w:color="auto" w:fill="auto"/>
            <w:vAlign w:val="center"/>
          </w:tcPr>
          <w:p w14:paraId="423B0C9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有效</w:t>
            </w:r>
          </w:p>
        </w:tc>
        <w:tc>
          <w:tcPr>
            <w:tcW w:w="151" w:type="pct"/>
            <w:shd w:val="clear" w:color="auto" w:fill="auto"/>
            <w:vAlign w:val="center"/>
          </w:tcPr>
          <w:p w14:paraId="6FA1051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6C6A513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部门人员管理是否符合相关管理规定，用以反映和考核人力资源管理制度执行的有效性情况。</w:t>
            </w:r>
          </w:p>
        </w:tc>
        <w:tc>
          <w:tcPr>
            <w:tcW w:w="1608" w:type="pct"/>
            <w:shd w:val="clear" w:color="auto" w:fill="auto"/>
            <w:vAlign w:val="center"/>
          </w:tcPr>
          <w:p w14:paraId="1C233FA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44144B7F">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1.年终组织个人、处室考核，实施程序规范、资料完整；</w:t>
            </w:r>
          </w:p>
          <w:p w14:paraId="11CBEF5A">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2.考核结果切实运用。</w:t>
            </w:r>
          </w:p>
          <w:p w14:paraId="1C099BA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评分规则：以上评价要点各占1/2分值，每个要点执行情况分为达成、部分达成、未达成三档，分别按分值的100%-80%(含)、80%-60%(含)、60%-0%合理确定分值。</w:t>
            </w:r>
          </w:p>
        </w:tc>
        <w:tc>
          <w:tcPr>
            <w:tcW w:w="1240" w:type="pct"/>
            <w:shd w:val="clear" w:color="auto" w:fill="auto"/>
            <w:vAlign w:val="center"/>
          </w:tcPr>
          <w:p w14:paraId="1C27F2D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1.年终组织个人、处室考核，实施程序规范、资料完整，达成；</w:t>
            </w:r>
          </w:p>
          <w:p w14:paraId="7FB17C3F">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2.考核结果切实运用，达成。</w:t>
            </w:r>
          </w:p>
        </w:tc>
        <w:tc>
          <w:tcPr>
            <w:tcW w:w="233" w:type="pct"/>
            <w:shd w:val="clear" w:color="auto" w:fill="auto"/>
            <w:vAlign w:val="center"/>
          </w:tcPr>
          <w:p w14:paraId="7ABAAA21">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5EB0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254" w:type="pct"/>
            <w:vMerge w:val="continue"/>
            <w:vAlign w:val="center"/>
          </w:tcPr>
          <w:p w14:paraId="0C161BB6">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7BCBAF36">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056F0E16">
            <w:pPr>
              <w:pStyle w:val="9"/>
              <w:jc w:val="center"/>
              <w:rPr>
                <w:rFonts w:hint="eastAsia" w:ascii="仿宋_GB2312" w:hAnsi="仿宋_GB2312" w:eastAsia="仿宋_GB2312" w:cs="仿宋_GB2312"/>
                <w:sz w:val="18"/>
                <w:szCs w:val="18"/>
                <w:highlight w:val="none"/>
              </w:rPr>
            </w:pPr>
          </w:p>
          <w:p w14:paraId="39A95D3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B53</w:t>
            </w:r>
          </w:p>
          <w:p w14:paraId="5BE131D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在职人员</w:t>
            </w:r>
          </w:p>
          <w:p w14:paraId="353B760C">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控制率</w:t>
            </w:r>
          </w:p>
        </w:tc>
        <w:tc>
          <w:tcPr>
            <w:tcW w:w="231" w:type="pct"/>
            <w:shd w:val="clear" w:color="auto" w:fill="auto"/>
            <w:vAlign w:val="center"/>
          </w:tcPr>
          <w:p w14:paraId="0ACAF73F">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1" w:type="pct"/>
            <w:shd w:val="clear" w:color="auto" w:fill="auto"/>
            <w:vAlign w:val="center"/>
          </w:tcPr>
          <w:p w14:paraId="3DBD9FB5">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1CF5B3E6">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部门本年度实际在职人员数与编制数的比率，用以反映和考核部门对人员成本的控制程度。</w:t>
            </w:r>
          </w:p>
        </w:tc>
        <w:tc>
          <w:tcPr>
            <w:tcW w:w="1608" w:type="pct"/>
            <w:shd w:val="clear" w:color="auto" w:fill="auto"/>
            <w:vAlign w:val="center"/>
          </w:tcPr>
          <w:p w14:paraId="03192122">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在职人员控制率=(在职人员数/编制数)×100%。</w:t>
            </w:r>
          </w:p>
          <w:p w14:paraId="51F30E8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在职人员数：部门实际在职人数，以财政部确定的部门决算编制口径为准。</w:t>
            </w:r>
          </w:p>
          <w:p w14:paraId="600A61D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编制数：机构编制部门核定批复的部门的人员编制数。</w:t>
            </w:r>
          </w:p>
          <w:p w14:paraId="43E86189">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评分规则：1.比率≤100%,得满分；2.比率&gt;100%,每增加1%,扣5%的权重分，扣完为止。</w:t>
            </w:r>
          </w:p>
        </w:tc>
        <w:tc>
          <w:tcPr>
            <w:tcW w:w="1240" w:type="pct"/>
            <w:shd w:val="clear" w:color="auto" w:fill="auto"/>
            <w:vAlign w:val="center"/>
          </w:tcPr>
          <w:p w14:paraId="499570B9">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在职人员控制率=(在职人员数</w:t>
            </w:r>
            <w:r>
              <w:rPr>
                <w:rFonts w:hint="eastAsia" w:ascii="仿宋_GB2312" w:hAnsi="仿宋_GB2312" w:eastAsia="仿宋_GB2312" w:cs="仿宋_GB2312"/>
                <w:sz w:val="18"/>
                <w:szCs w:val="18"/>
                <w:highlight w:val="none"/>
                <w:lang w:val="en-US" w:eastAsia="zh-CN"/>
              </w:rPr>
              <w:t>27</w:t>
            </w:r>
            <w:r>
              <w:rPr>
                <w:rFonts w:hint="eastAsia" w:ascii="仿宋_GB2312" w:hAnsi="仿宋_GB2312" w:eastAsia="仿宋_GB2312" w:cs="仿宋_GB2312"/>
                <w:sz w:val="18"/>
                <w:szCs w:val="18"/>
                <w:highlight w:val="none"/>
                <w:lang w:eastAsia="zh-CN"/>
              </w:rPr>
              <w:t>人/编制数29人)×100%=</w:t>
            </w:r>
            <w:r>
              <w:rPr>
                <w:rFonts w:hint="eastAsia" w:ascii="仿宋_GB2312" w:hAnsi="仿宋_GB2312" w:eastAsia="仿宋_GB2312" w:cs="仿宋_GB2312"/>
                <w:sz w:val="18"/>
                <w:szCs w:val="18"/>
                <w:highlight w:val="none"/>
                <w:lang w:val="en-US" w:eastAsia="zh-CN"/>
              </w:rPr>
              <w:t>93.1</w:t>
            </w:r>
            <w:r>
              <w:rPr>
                <w:rFonts w:hint="eastAsia" w:ascii="仿宋_GB2312" w:hAnsi="仿宋_GB2312" w:eastAsia="仿宋_GB2312" w:cs="仿宋_GB2312"/>
                <w:sz w:val="18"/>
                <w:szCs w:val="18"/>
                <w:highlight w:val="none"/>
                <w:lang w:eastAsia="zh-CN"/>
              </w:rPr>
              <w:t>%。</w:t>
            </w:r>
          </w:p>
          <w:p w14:paraId="20DF9F3C">
            <w:pPr>
              <w:pStyle w:val="9"/>
              <w:rPr>
                <w:rFonts w:hint="eastAsia" w:ascii="仿宋_GB2312" w:hAnsi="仿宋_GB2312" w:eastAsia="仿宋_GB2312" w:cs="仿宋_GB2312"/>
                <w:snapToGrid w:val="0"/>
                <w:color w:val="000000"/>
                <w:sz w:val="18"/>
                <w:szCs w:val="18"/>
                <w:highlight w:val="none"/>
                <w:lang w:val="en-US" w:eastAsia="zh-CN" w:bidi="ar-SA"/>
              </w:rPr>
            </w:pPr>
          </w:p>
        </w:tc>
        <w:tc>
          <w:tcPr>
            <w:tcW w:w="233" w:type="pct"/>
            <w:shd w:val="clear" w:color="auto" w:fill="auto"/>
            <w:vAlign w:val="center"/>
          </w:tcPr>
          <w:p w14:paraId="470A77C3">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43C8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254" w:type="pct"/>
            <w:vMerge w:val="continue"/>
            <w:vAlign w:val="center"/>
          </w:tcPr>
          <w:p w14:paraId="18A7CC71">
            <w:pPr>
              <w:pStyle w:val="9"/>
              <w:jc w:val="center"/>
              <w:rPr>
                <w:rFonts w:hint="eastAsia" w:ascii="仿宋_GB2312" w:hAnsi="仿宋_GB2312" w:eastAsia="仿宋_GB2312" w:cs="仿宋_GB2312"/>
                <w:sz w:val="18"/>
                <w:szCs w:val="18"/>
                <w:highlight w:val="none"/>
              </w:rPr>
            </w:pPr>
          </w:p>
        </w:tc>
        <w:tc>
          <w:tcPr>
            <w:tcW w:w="297" w:type="pct"/>
            <w:vMerge w:val="restart"/>
            <w:tcBorders>
              <w:top w:val="single" w:color="auto" w:sz="4" w:space="0"/>
              <w:left w:val="single" w:color="auto" w:sz="4" w:space="0"/>
              <w:right w:val="single" w:color="auto" w:sz="4" w:space="0"/>
            </w:tcBorders>
            <w:vAlign w:val="center"/>
          </w:tcPr>
          <w:p w14:paraId="79663492">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B6</w:t>
            </w:r>
          </w:p>
          <w:p w14:paraId="26F76235">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机构建设</w:t>
            </w:r>
          </w:p>
          <w:p w14:paraId="49DD82DE">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w:t>
            </w:r>
          </w:p>
        </w:tc>
        <w:tc>
          <w:tcPr>
            <w:tcW w:w="284" w:type="pct"/>
            <w:tcBorders>
              <w:left w:val="single" w:color="auto" w:sz="4" w:space="0"/>
            </w:tcBorders>
            <w:shd w:val="clear" w:color="auto" w:fill="auto"/>
            <w:vAlign w:val="center"/>
          </w:tcPr>
          <w:p w14:paraId="63388AED">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B61</w:t>
            </w:r>
          </w:p>
          <w:p w14:paraId="2B77C185">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组织建设</w:t>
            </w:r>
          </w:p>
          <w:p w14:paraId="6F1634E8">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工作及时</w:t>
            </w:r>
          </w:p>
          <w:p w14:paraId="1F9942D3">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完成率</w:t>
            </w:r>
          </w:p>
        </w:tc>
        <w:tc>
          <w:tcPr>
            <w:tcW w:w="231" w:type="pct"/>
            <w:shd w:val="clear" w:color="auto" w:fill="auto"/>
            <w:vAlign w:val="center"/>
          </w:tcPr>
          <w:p w14:paraId="3AAECC12">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1" w:type="pct"/>
            <w:shd w:val="clear" w:color="auto" w:fill="auto"/>
            <w:vAlign w:val="center"/>
          </w:tcPr>
          <w:p w14:paraId="707DD59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4EDD8B91">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部门为履行职责而实际及时完成的组织建设工作数与计划工作数的比率，用以反映和考核部门组织建设工作完成情况。</w:t>
            </w:r>
          </w:p>
        </w:tc>
        <w:tc>
          <w:tcPr>
            <w:tcW w:w="1608" w:type="pct"/>
            <w:shd w:val="clear" w:color="auto" w:fill="auto"/>
            <w:vAlign w:val="center"/>
          </w:tcPr>
          <w:p w14:paraId="6332B301">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组织建设工作完成率=(实际及时完成的组织建设工作数/计划组织建设工作数)x100%</w:t>
            </w:r>
          </w:p>
          <w:p w14:paraId="0273638E">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评分规则：得分=组织建设工作完成率x分值。</w:t>
            </w:r>
          </w:p>
        </w:tc>
        <w:tc>
          <w:tcPr>
            <w:tcW w:w="1240" w:type="pct"/>
            <w:shd w:val="clear" w:color="auto" w:fill="auto"/>
            <w:vAlign w:val="center"/>
          </w:tcPr>
          <w:p w14:paraId="4B90F9BE">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组织建设工作完成率=(实际及时完成的组织建设工作数</w:t>
            </w:r>
            <w:r>
              <w:rPr>
                <w:rFonts w:hint="eastAsia" w:ascii="仿宋_GB2312" w:hAnsi="仿宋_GB2312" w:eastAsia="仿宋_GB2312" w:cs="仿宋_GB2312"/>
                <w:sz w:val="18"/>
                <w:szCs w:val="18"/>
                <w:highlight w:val="none"/>
                <w:lang w:val="en-US" w:eastAsia="zh-CN"/>
              </w:rPr>
              <w:t>82</w:t>
            </w:r>
            <w:r>
              <w:rPr>
                <w:rFonts w:hint="eastAsia" w:ascii="仿宋_GB2312" w:hAnsi="仿宋_GB2312" w:eastAsia="仿宋_GB2312" w:cs="仿宋_GB2312"/>
                <w:sz w:val="18"/>
                <w:szCs w:val="18"/>
                <w:highlight w:val="none"/>
                <w:lang w:eastAsia="zh-CN"/>
              </w:rPr>
              <w:t>次/计划组织建设工作数</w:t>
            </w:r>
            <w:r>
              <w:rPr>
                <w:rFonts w:hint="eastAsia" w:ascii="仿宋_GB2312" w:hAnsi="仿宋_GB2312" w:eastAsia="仿宋_GB2312" w:cs="仿宋_GB2312"/>
                <w:sz w:val="18"/>
                <w:szCs w:val="18"/>
                <w:highlight w:val="none"/>
                <w:lang w:val="en-US" w:eastAsia="zh-CN"/>
              </w:rPr>
              <w:t>82</w:t>
            </w:r>
            <w:r>
              <w:rPr>
                <w:rFonts w:hint="eastAsia" w:ascii="仿宋_GB2312" w:hAnsi="仿宋_GB2312" w:eastAsia="仿宋_GB2312" w:cs="仿宋_GB2312"/>
                <w:sz w:val="18"/>
                <w:szCs w:val="18"/>
                <w:highlight w:val="none"/>
                <w:lang w:eastAsia="zh-CN"/>
              </w:rPr>
              <w:t>次)x100%</w:t>
            </w:r>
          </w:p>
          <w:p w14:paraId="086480D3">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，实际完成每月办公会、每月业务分析会，完成“三会一课”等8</w:t>
            </w:r>
            <w:r>
              <w:rPr>
                <w:rFonts w:hint="eastAsia" w:ascii="仿宋_GB2312" w:hAnsi="仿宋_GB2312" w:eastAsia="仿宋_GB2312" w:cs="仿宋_GB2312"/>
                <w:sz w:val="18"/>
                <w:szCs w:val="18"/>
                <w:highlight w:val="none"/>
                <w:lang w:val="en-US" w:eastAsia="zh-CN"/>
              </w:rPr>
              <w:t>2</w:t>
            </w:r>
            <w:r>
              <w:rPr>
                <w:rFonts w:hint="eastAsia" w:ascii="仿宋_GB2312" w:hAnsi="仿宋_GB2312" w:eastAsia="仿宋_GB2312" w:cs="仿宋_GB2312"/>
                <w:sz w:val="18"/>
                <w:szCs w:val="18"/>
                <w:highlight w:val="none"/>
                <w:lang w:eastAsia="zh-CN"/>
              </w:rPr>
              <w:t>次。</w:t>
            </w:r>
          </w:p>
        </w:tc>
        <w:tc>
          <w:tcPr>
            <w:tcW w:w="233" w:type="pct"/>
            <w:shd w:val="clear" w:color="auto" w:fill="auto"/>
            <w:vAlign w:val="center"/>
          </w:tcPr>
          <w:p w14:paraId="2023D213">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1</w:t>
            </w:r>
          </w:p>
        </w:tc>
      </w:tr>
      <w:tr w14:paraId="70E70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54" w:type="pct"/>
            <w:vMerge w:val="continue"/>
            <w:vAlign w:val="center"/>
          </w:tcPr>
          <w:p w14:paraId="24705D67">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right w:val="single" w:color="auto" w:sz="4" w:space="0"/>
            </w:tcBorders>
            <w:vAlign w:val="center"/>
          </w:tcPr>
          <w:p w14:paraId="6A70F335">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56DA5641">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B62</w:t>
            </w:r>
          </w:p>
          <w:p w14:paraId="4259F866">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业务学习与培训及时完成率</w:t>
            </w:r>
          </w:p>
        </w:tc>
        <w:tc>
          <w:tcPr>
            <w:tcW w:w="231" w:type="pct"/>
            <w:shd w:val="clear" w:color="auto" w:fill="auto"/>
            <w:vAlign w:val="center"/>
          </w:tcPr>
          <w:p w14:paraId="065266C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100%</w:t>
            </w:r>
          </w:p>
        </w:tc>
        <w:tc>
          <w:tcPr>
            <w:tcW w:w="151" w:type="pct"/>
            <w:shd w:val="clear" w:color="auto" w:fill="auto"/>
            <w:vAlign w:val="center"/>
          </w:tcPr>
          <w:p w14:paraId="4EDC5196">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c>
          <w:tcPr>
            <w:tcW w:w="698" w:type="pct"/>
            <w:shd w:val="clear" w:color="auto" w:fill="auto"/>
            <w:vAlign w:val="center"/>
          </w:tcPr>
          <w:p w14:paraId="480287A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部门为履行职责而实际及时完成的业务学习与培训数与计划工作数的比率，用以反映和考核部门业务学习与培训工体完成情况。</w:t>
            </w:r>
          </w:p>
        </w:tc>
        <w:tc>
          <w:tcPr>
            <w:tcW w:w="1608" w:type="pct"/>
            <w:shd w:val="clear" w:color="auto" w:fill="auto"/>
            <w:vAlign w:val="center"/>
          </w:tcPr>
          <w:p w14:paraId="005E092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业务学习与培训及时完成率=(实际及时完成的业务学习与培训数/计划业务学习与培训数)×100%。</w:t>
            </w:r>
          </w:p>
          <w:p w14:paraId="1163B450">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评分规则：得分=业务学习与培训及时完成率×分值。</w:t>
            </w:r>
          </w:p>
        </w:tc>
        <w:tc>
          <w:tcPr>
            <w:tcW w:w="1240" w:type="pct"/>
            <w:shd w:val="clear" w:color="auto" w:fill="auto"/>
            <w:vAlign w:val="center"/>
          </w:tcPr>
          <w:p w14:paraId="47F0E674">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业务学习与培训及时完成率=(实际及时完成的业务学习与培训数1</w:t>
            </w:r>
            <w:r>
              <w:rPr>
                <w:rFonts w:hint="eastAsia" w:ascii="仿宋_GB2312" w:hAnsi="仿宋_GB2312" w:eastAsia="仿宋_GB2312" w:cs="仿宋_GB2312"/>
                <w:sz w:val="18"/>
                <w:szCs w:val="18"/>
                <w:highlight w:val="none"/>
                <w:lang w:val="en-US" w:eastAsia="zh-CN"/>
              </w:rPr>
              <w:t>1</w:t>
            </w:r>
            <w:r>
              <w:rPr>
                <w:rFonts w:hint="eastAsia" w:ascii="仿宋_GB2312" w:hAnsi="仿宋_GB2312" w:eastAsia="仿宋_GB2312" w:cs="仿宋_GB2312"/>
                <w:sz w:val="18"/>
                <w:szCs w:val="18"/>
                <w:highlight w:val="none"/>
                <w:lang w:eastAsia="zh-CN"/>
              </w:rPr>
              <w:t>次/计划业务学习与培训数1</w:t>
            </w:r>
            <w:r>
              <w:rPr>
                <w:rFonts w:hint="eastAsia" w:ascii="仿宋_GB2312" w:hAnsi="仿宋_GB2312" w:eastAsia="仿宋_GB2312" w:cs="仿宋_GB2312"/>
                <w:sz w:val="18"/>
                <w:szCs w:val="18"/>
                <w:highlight w:val="none"/>
                <w:lang w:val="en-US" w:eastAsia="zh-CN"/>
              </w:rPr>
              <w:t>1</w:t>
            </w:r>
            <w:r>
              <w:rPr>
                <w:rFonts w:hint="eastAsia" w:ascii="仿宋_GB2312" w:hAnsi="仿宋_GB2312" w:eastAsia="仿宋_GB2312" w:cs="仿宋_GB2312"/>
                <w:sz w:val="18"/>
                <w:szCs w:val="18"/>
                <w:highlight w:val="none"/>
                <w:lang w:eastAsia="zh-CN"/>
              </w:rPr>
              <w:t>次)×100%=100%</w:t>
            </w:r>
          </w:p>
        </w:tc>
        <w:tc>
          <w:tcPr>
            <w:tcW w:w="233" w:type="pct"/>
            <w:shd w:val="clear" w:color="auto" w:fill="auto"/>
            <w:vAlign w:val="center"/>
          </w:tcPr>
          <w:p w14:paraId="67545FCD">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2278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254" w:type="pct"/>
            <w:vMerge w:val="continue"/>
            <w:vAlign w:val="center"/>
          </w:tcPr>
          <w:p w14:paraId="35CBC300">
            <w:pPr>
              <w:pStyle w:val="9"/>
              <w:jc w:val="center"/>
              <w:rPr>
                <w:rFonts w:hint="eastAsia" w:ascii="仿宋_GB2312" w:hAnsi="仿宋_GB2312" w:eastAsia="仿宋_GB2312" w:cs="仿宋_GB2312"/>
                <w:sz w:val="18"/>
                <w:szCs w:val="18"/>
                <w:highlight w:val="none"/>
              </w:rPr>
            </w:pPr>
          </w:p>
        </w:tc>
        <w:tc>
          <w:tcPr>
            <w:tcW w:w="297" w:type="pct"/>
            <w:vMerge w:val="continue"/>
            <w:tcBorders>
              <w:left w:val="single" w:color="auto" w:sz="4" w:space="0"/>
              <w:bottom w:val="single" w:color="auto" w:sz="4" w:space="0"/>
              <w:right w:val="single" w:color="auto" w:sz="4" w:space="0"/>
            </w:tcBorders>
            <w:vAlign w:val="center"/>
          </w:tcPr>
          <w:p w14:paraId="5C083533">
            <w:pPr>
              <w:pStyle w:val="9"/>
              <w:jc w:val="center"/>
              <w:rPr>
                <w:rFonts w:hint="eastAsia" w:ascii="仿宋_GB2312" w:hAnsi="仿宋_GB2312" w:eastAsia="仿宋_GB2312" w:cs="仿宋_GB2312"/>
                <w:sz w:val="18"/>
                <w:szCs w:val="18"/>
                <w:highlight w:val="none"/>
              </w:rPr>
            </w:pPr>
          </w:p>
        </w:tc>
        <w:tc>
          <w:tcPr>
            <w:tcW w:w="284" w:type="pct"/>
            <w:tcBorders>
              <w:left w:val="single" w:color="auto" w:sz="4" w:space="0"/>
            </w:tcBorders>
            <w:shd w:val="clear" w:color="auto" w:fill="auto"/>
            <w:vAlign w:val="center"/>
          </w:tcPr>
          <w:p w14:paraId="43C15B8A">
            <w:pPr>
              <w:pStyle w:val="9"/>
              <w:jc w:val="center"/>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B63</w:t>
            </w:r>
          </w:p>
          <w:p w14:paraId="5BA2B276">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纪检监察工作有效性</w:t>
            </w:r>
          </w:p>
        </w:tc>
        <w:tc>
          <w:tcPr>
            <w:tcW w:w="231" w:type="pct"/>
            <w:shd w:val="clear" w:color="auto" w:fill="auto"/>
            <w:vAlign w:val="center"/>
          </w:tcPr>
          <w:p w14:paraId="3E35802E">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有效</w:t>
            </w:r>
          </w:p>
        </w:tc>
        <w:tc>
          <w:tcPr>
            <w:tcW w:w="151" w:type="pct"/>
            <w:shd w:val="clear" w:color="auto" w:fill="auto"/>
            <w:vAlign w:val="center"/>
          </w:tcPr>
          <w:p w14:paraId="53B0F9CC">
            <w:pPr>
              <w:pStyle w:val="9"/>
              <w:jc w:val="center"/>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1</w:t>
            </w:r>
          </w:p>
        </w:tc>
        <w:tc>
          <w:tcPr>
            <w:tcW w:w="698" w:type="pct"/>
            <w:shd w:val="clear" w:color="auto" w:fill="auto"/>
            <w:vAlign w:val="center"/>
          </w:tcPr>
          <w:p w14:paraId="7F821BD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部门为履行职责而开展的纪检监察工作的有效性情况，用以反映和考核部门纪检监察工作对部门正常运行和职责履行的保障作用。</w:t>
            </w:r>
          </w:p>
        </w:tc>
        <w:tc>
          <w:tcPr>
            <w:tcW w:w="1608" w:type="pct"/>
            <w:shd w:val="clear" w:color="auto" w:fill="auto"/>
            <w:vAlign w:val="center"/>
          </w:tcPr>
          <w:p w14:paraId="5D6EE9F4">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评价要点：</w:t>
            </w:r>
          </w:p>
          <w:p w14:paraId="0058E04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1.纪检监督工作实施程序规范、相关资料完整；</w:t>
            </w:r>
          </w:p>
          <w:p w14:paraId="00BBF4EF">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2.纪检监督结果切实运用。</w:t>
            </w:r>
          </w:p>
          <w:p w14:paraId="2C2CCF51">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评分规则：以上评价要点各占1/2分值，每个要点执行情况分为达成、部分达成、未达成三档，分别按分值的100%-30%(含)、80%-60%(含)、60%-0%合理确定分值。</w:t>
            </w:r>
          </w:p>
        </w:tc>
        <w:tc>
          <w:tcPr>
            <w:tcW w:w="1240" w:type="pct"/>
            <w:shd w:val="clear" w:color="auto" w:fill="auto"/>
            <w:vAlign w:val="center"/>
          </w:tcPr>
          <w:p w14:paraId="5B5A365D">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1.纪检监督工作实施程序规范、相关资料完整，达成</w:t>
            </w:r>
          </w:p>
          <w:p w14:paraId="79D4131D">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2.纪检监督结果切实运用，达成。</w:t>
            </w:r>
          </w:p>
        </w:tc>
        <w:tc>
          <w:tcPr>
            <w:tcW w:w="233" w:type="pct"/>
            <w:shd w:val="clear" w:color="auto" w:fill="auto"/>
            <w:vAlign w:val="center"/>
          </w:tcPr>
          <w:p w14:paraId="04690539">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1</w:t>
            </w:r>
          </w:p>
        </w:tc>
      </w:tr>
      <w:tr w14:paraId="7F4B2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254" w:type="pct"/>
            <w:vMerge w:val="restart"/>
            <w:tcBorders>
              <w:right w:val="single" w:color="auto" w:sz="4" w:space="0"/>
            </w:tcBorders>
            <w:vAlign w:val="center"/>
          </w:tcPr>
          <w:p w14:paraId="1ECFBD7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C履职(28)</w:t>
            </w:r>
          </w:p>
        </w:tc>
        <w:tc>
          <w:tcPr>
            <w:tcW w:w="297" w:type="pct"/>
            <w:tcBorders>
              <w:top w:val="single" w:color="auto" w:sz="4" w:space="0"/>
              <w:left w:val="single" w:color="auto" w:sz="4" w:space="0"/>
              <w:right w:val="single" w:color="auto" w:sz="4" w:space="0"/>
            </w:tcBorders>
            <w:vAlign w:val="center"/>
          </w:tcPr>
          <w:p w14:paraId="00CE5CE3">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C1</w:t>
            </w:r>
          </w:p>
          <w:p w14:paraId="3090818D">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eastAsia="zh-CN"/>
              </w:rPr>
              <w:t>受理仲裁案件</w:t>
            </w:r>
            <w:r>
              <w:rPr>
                <w:rFonts w:hint="eastAsia" w:ascii="仿宋_GB2312" w:hAnsi="仿宋_GB2312" w:eastAsia="仿宋_GB2312" w:cs="仿宋_GB2312"/>
                <w:sz w:val="18"/>
                <w:szCs w:val="18"/>
                <w:highlight w:val="none"/>
              </w:rPr>
              <w:t>(</w:t>
            </w:r>
            <w:r>
              <w:rPr>
                <w:rFonts w:hint="eastAsia" w:ascii="仿宋_GB2312" w:hAnsi="仿宋_GB2312" w:eastAsia="仿宋_GB2312" w:cs="仿宋_GB2312"/>
                <w:sz w:val="18"/>
                <w:szCs w:val="18"/>
                <w:highlight w:val="none"/>
                <w:lang w:val="en-US" w:eastAsia="zh-CN"/>
              </w:rPr>
              <w:t>20</w:t>
            </w:r>
            <w:r>
              <w:rPr>
                <w:rFonts w:hint="eastAsia" w:ascii="仿宋_GB2312" w:hAnsi="仿宋_GB2312" w:eastAsia="仿宋_GB2312" w:cs="仿宋_GB2312"/>
                <w:sz w:val="18"/>
                <w:szCs w:val="18"/>
                <w:highlight w:val="none"/>
              </w:rPr>
              <w:t>)</w:t>
            </w:r>
          </w:p>
        </w:tc>
        <w:tc>
          <w:tcPr>
            <w:tcW w:w="284" w:type="pct"/>
            <w:tcBorders>
              <w:left w:val="single" w:color="auto" w:sz="4" w:space="0"/>
            </w:tcBorders>
            <w:shd w:val="clear" w:color="auto" w:fill="auto"/>
            <w:vAlign w:val="center"/>
          </w:tcPr>
          <w:p w14:paraId="1CEE3B9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C11</w:t>
            </w:r>
          </w:p>
          <w:p w14:paraId="7E2CE6AE">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受理案件数</w:t>
            </w:r>
          </w:p>
        </w:tc>
        <w:tc>
          <w:tcPr>
            <w:tcW w:w="231" w:type="pct"/>
            <w:shd w:val="clear" w:color="auto" w:fill="auto"/>
            <w:vAlign w:val="center"/>
          </w:tcPr>
          <w:p w14:paraId="4C5A0BD4">
            <w:pPr>
              <w:pStyle w:val="9"/>
              <w:jc w:val="center"/>
              <w:rPr>
                <w:rFonts w:hint="eastAsia" w:ascii="仿宋_GB2312" w:hAnsi="仿宋_GB2312" w:eastAsia="仿宋_GB2312" w:cs="仿宋_GB2312"/>
                <w:snapToGrid w:val="0"/>
                <w:color w:val="000000"/>
                <w:sz w:val="18"/>
                <w:szCs w:val="18"/>
                <w:highlight w:val="none"/>
                <w:lang w:val="en-US" w:eastAsia="en-US" w:bidi="ar-SA"/>
              </w:rPr>
            </w:pPr>
            <w:r>
              <w:rPr>
                <w:rFonts w:hint="eastAsia" w:ascii="仿宋_GB2312" w:hAnsi="仿宋_GB2312" w:eastAsia="仿宋_GB2312" w:cs="仿宋_GB2312"/>
                <w:sz w:val="18"/>
                <w:szCs w:val="18"/>
                <w:highlight w:val="none"/>
              </w:rPr>
              <w:t>≥</w:t>
            </w:r>
            <w:r>
              <w:rPr>
                <w:rFonts w:hint="eastAsia" w:ascii="仿宋_GB2312" w:hAnsi="仿宋_GB2312" w:eastAsia="仿宋_GB2312" w:cs="仿宋_GB2312"/>
                <w:sz w:val="18"/>
                <w:szCs w:val="18"/>
                <w:highlight w:val="none"/>
                <w:lang w:val="en-US" w:eastAsia="zh-CN"/>
              </w:rPr>
              <w:t>20</w:t>
            </w:r>
            <w:r>
              <w:rPr>
                <w:rFonts w:hint="eastAsia" w:ascii="仿宋_GB2312" w:hAnsi="仿宋_GB2312" w:eastAsia="仿宋_GB2312" w:cs="仿宋_GB2312"/>
                <w:sz w:val="18"/>
                <w:szCs w:val="18"/>
                <w:highlight w:val="none"/>
              </w:rPr>
              <w:t>00件</w:t>
            </w:r>
          </w:p>
        </w:tc>
        <w:tc>
          <w:tcPr>
            <w:tcW w:w="151" w:type="pct"/>
            <w:shd w:val="clear" w:color="auto" w:fill="auto"/>
            <w:vAlign w:val="center"/>
          </w:tcPr>
          <w:p w14:paraId="30D605AB">
            <w:pPr>
              <w:pStyle w:val="9"/>
              <w:jc w:val="center"/>
              <w:rPr>
                <w:rFonts w:hint="default"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20</w:t>
            </w:r>
          </w:p>
        </w:tc>
        <w:tc>
          <w:tcPr>
            <w:tcW w:w="698" w:type="pct"/>
            <w:shd w:val="clear" w:color="auto" w:fill="auto"/>
            <w:vAlign w:val="center"/>
          </w:tcPr>
          <w:p w14:paraId="25167FA7">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考察仲裁案件受理数量情况，反映履职目标的实现程度。</w:t>
            </w:r>
          </w:p>
        </w:tc>
        <w:tc>
          <w:tcPr>
            <w:tcW w:w="1608" w:type="pct"/>
            <w:shd w:val="clear" w:color="auto" w:fill="auto"/>
            <w:vAlign w:val="center"/>
          </w:tcPr>
          <w:p w14:paraId="7019FDC3">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评分规则：实际完成值达到标准值得满分，超过标准值</w:t>
            </w:r>
          </w:p>
          <w:p w14:paraId="1A196138">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130%的每超过1%扣5%权重分，未达到标准值的每减少1%扣1%权重分。</w:t>
            </w:r>
          </w:p>
        </w:tc>
        <w:tc>
          <w:tcPr>
            <w:tcW w:w="1240" w:type="pct"/>
            <w:shd w:val="clear" w:color="auto" w:fill="auto"/>
            <w:vAlign w:val="center"/>
          </w:tcPr>
          <w:p w14:paraId="46629C12">
            <w:pPr>
              <w:pStyle w:val="9"/>
              <w:rPr>
                <w:rFonts w:hint="eastAsia"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eastAsia="zh-CN"/>
              </w:rPr>
              <w:t>根据仲裁业务系统截图，202</w:t>
            </w:r>
            <w:r>
              <w:rPr>
                <w:rFonts w:hint="eastAsia" w:ascii="仿宋_GB2312" w:hAnsi="仿宋_GB2312" w:eastAsia="仿宋_GB2312" w:cs="仿宋_GB2312"/>
                <w:sz w:val="18"/>
                <w:szCs w:val="18"/>
                <w:highlight w:val="none"/>
                <w:lang w:val="en-US" w:eastAsia="zh-CN"/>
              </w:rPr>
              <w:t>4</w:t>
            </w:r>
            <w:r>
              <w:rPr>
                <w:rFonts w:hint="eastAsia" w:ascii="仿宋_GB2312" w:hAnsi="仿宋_GB2312" w:eastAsia="仿宋_GB2312" w:cs="仿宋_GB2312"/>
                <w:sz w:val="18"/>
                <w:szCs w:val="18"/>
                <w:highlight w:val="none"/>
                <w:lang w:eastAsia="zh-CN"/>
              </w:rPr>
              <w:t>年度受理案件</w:t>
            </w:r>
            <w:r>
              <w:rPr>
                <w:rFonts w:hint="eastAsia" w:ascii="仿宋_GB2312" w:hAnsi="仿宋_GB2312" w:eastAsia="仿宋_GB2312" w:cs="仿宋_GB2312"/>
                <w:sz w:val="18"/>
                <w:szCs w:val="18"/>
                <w:highlight w:val="none"/>
                <w:lang w:val="en-US" w:eastAsia="zh-CN"/>
              </w:rPr>
              <w:t>2574</w:t>
            </w:r>
            <w:r>
              <w:rPr>
                <w:rFonts w:hint="eastAsia" w:ascii="仿宋_GB2312" w:hAnsi="仿宋_GB2312" w:eastAsia="仿宋_GB2312" w:cs="仿宋_GB2312"/>
                <w:sz w:val="18"/>
                <w:szCs w:val="18"/>
                <w:highlight w:val="none"/>
                <w:lang w:eastAsia="zh-CN"/>
              </w:rPr>
              <w:t>件，其中</w:t>
            </w:r>
            <w:r>
              <w:rPr>
                <w:rFonts w:hint="eastAsia" w:ascii="仿宋_GB2312" w:hAnsi="仿宋_GB2312" w:eastAsia="仿宋_GB2312" w:cs="仿宋_GB2312"/>
                <w:sz w:val="18"/>
                <w:szCs w:val="18"/>
                <w:highlight w:val="none"/>
                <w:lang w:val="en-US" w:eastAsia="zh-CN"/>
              </w:rPr>
              <w:t>332</w:t>
            </w:r>
            <w:r>
              <w:rPr>
                <w:rFonts w:hint="eastAsia" w:ascii="仿宋_GB2312" w:hAnsi="仿宋_GB2312" w:eastAsia="仿宋_GB2312" w:cs="仿宋_GB2312"/>
                <w:sz w:val="18"/>
                <w:szCs w:val="18"/>
                <w:highlight w:val="none"/>
                <w:lang w:eastAsia="zh-CN"/>
              </w:rPr>
              <w:t>件为批量案件，按照三件算一件折算为</w:t>
            </w:r>
            <w:r>
              <w:rPr>
                <w:rFonts w:hint="eastAsia" w:ascii="仿宋_GB2312" w:hAnsi="仿宋_GB2312" w:eastAsia="仿宋_GB2312" w:cs="仿宋_GB2312"/>
                <w:sz w:val="18"/>
                <w:szCs w:val="18"/>
                <w:highlight w:val="none"/>
                <w:lang w:val="en-US" w:eastAsia="zh-CN"/>
              </w:rPr>
              <w:t>110</w:t>
            </w:r>
            <w:r>
              <w:rPr>
                <w:rFonts w:hint="eastAsia" w:ascii="仿宋_GB2312" w:hAnsi="仿宋_GB2312" w:eastAsia="仿宋_GB2312" w:cs="仿宋_GB2312"/>
                <w:sz w:val="18"/>
                <w:szCs w:val="18"/>
                <w:highlight w:val="none"/>
                <w:lang w:eastAsia="zh-CN"/>
              </w:rPr>
              <w:t>件，折算后受理案件数为</w:t>
            </w:r>
            <w:r>
              <w:rPr>
                <w:rFonts w:hint="eastAsia" w:ascii="仿宋_GB2312" w:hAnsi="仿宋_GB2312" w:eastAsia="仿宋_GB2312" w:cs="仿宋_GB2312"/>
                <w:sz w:val="18"/>
                <w:szCs w:val="18"/>
                <w:highlight w:val="none"/>
                <w:lang w:val="en-US" w:eastAsia="zh-CN"/>
              </w:rPr>
              <w:t>2352</w:t>
            </w:r>
            <w:r>
              <w:rPr>
                <w:rFonts w:hint="eastAsia" w:ascii="仿宋_GB2312" w:hAnsi="仿宋_GB2312" w:eastAsia="仿宋_GB2312" w:cs="仿宋_GB2312"/>
                <w:sz w:val="18"/>
                <w:szCs w:val="18"/>
                <w:highlight w:val="none"/>
                <w:lang w:eastAsia="zh-CN"/>
              </w:rPr>
              <w:t>件，达成。</w:t>
            </w:r>
          </w:p>
        </w:tc>
        <w:tc>
          <w:tcPr>
            <w:tcW w:w="233" w:type="pct"/>
            <w:shd w:val="clear" w:color="auto" w:fill="auto"/>
            <w:vAlign w:val="center"/>
          </w:tcPr>
          <w:p w14:paraId="3158FA0F">
            <w:pPr>
              <w:pStyle w:val="9"/>
              <w:jc w:val="center"/>
              <w:rPr>
                <w:rFonts w:hint="default"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20</w:t>
            </w:r>
          </w:p>
        </w:tc>
      </w:tr>
      <w:tr w14:paraId="1686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254" w:type="pct"/>
            <w:vMerge w:val="continue"/>
            <w:tcBorders>
              <w:right w:val="single" w:color="auto" w:sz="4" w:space="0"/>
            </w:tcBorders>
            <w:vAlign w:val="center"/>
          </w:tcPr>
          <w:p w14:paraId="2B6834F9">
            <w:pPr>
              <w:pStyle w:val="9"/>
              <w:jc w:val="center"/>
              <w:rPr>
                <w:rFonts w:hint="eastAsia" w:ascii="仿宋_GB2312" w:hAnsi="仿宋_GB2312" w:eastAsia="仿宋_GB2312" w:cs="仿宋_GB2312"/>
                <w:sz w:val="18"/>
                <w:szCs w:val="18"/>
                <w:highlight w:val="none"/>
              </w:rPr>
            </w:pPr>
          </w:p>
        </w:tc>
        <w:tc>
          <w:tcPr>
            <w:tcW w:w="297" w:type="pct"/>
            <w:tcBorders>
              <w:top w:val="single" w:color="auto" w:sz="4" w:space="0"/>
              <w:left w:val="single" w:color="auto" w:sz="4" w:space="0"/>
              <w:right w:val="single" w:color="auto" w:sz="4" w:space="0"/>
            </w:tcBorders>
            <w:vAlign w:val="center"/>
          </w:tcPr>
          <w:p w14:paraId="181DED20">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C</w:t>
            </w:r>
            <w:r>
              <w:rPr>
                <w:rFonts w:hint="eastAsia" w:ascii="仿宋_GB2312" w:hAnsi="仿宋_GB2312" w:eastAsia="仿宋_GB2312" w:cs="仿宋_GB2312"/>
                <w:sz w:val="18"/>
                <w:szCs w:val="18"/>
                <w:lang w:val="en-US" w:eastAsia="zh-CN"/>
              </w:rPr>
              <w:t>2</w:t>
            </w:r>
          </w:p>
          <w:p w14:paraId="2B628009">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lang w:eastAsia="zh-CN"/>
              </w:rPr>
              <w:t>宣传拓展(</w:t>
            </w:r>
            <w:r>
              <w:rPr>
                <w:rFonts w:hint="eastAsia" w:ascii="仿宋_GB2312" w:hAnsi="仿宋_GB2312" w:eastAsia="仿宋_GB2312" w:cs="仿宋_GB2312"/>
                <w:sz w:val="18"/>
                <w:szCs w:val="18"/>
                <w:lang w:val="en-US" w:eastAsia="zh-CN"/>
              </w:rPr>
              <w:t>8</w:t>
            </w:r>
            <w:r>
              <w:rPr>
                <w:rFonts w:hint="eastAsia" w:ascii="仿宋_GB2312" w:hAnsi="仿宋_GB2312" w:eastAsia="仿宋_GB2312" w:cs="仿宋_GB2312"/>
                <w:sz w:val="18"/>
                <w:szCs w:val="18"/>
                <w:lang w:eastAsia="zh-CN"/>
              </w:rPr>
              <w:t>)</w:t>
            </w:r>
          </w:p>
        </w:tc>
        <w:tc>
          <w:tcPr>
            <w:tcW w:w="284" w:type="pct"/>
            <w:tcBorders>
              <w:left w:val="single" w:color="auto" w:sz="4" w:space="0"/>
            </w:tcBorders>
            <w:shd w:val="clear" w:color="auto" w:fill="auto"/>
            <w:vAlign w:val="center"/>
          </w:tcPr>
          <w:p w14:paraId="4CD1B8B3">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C</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lang w:eastAsia="zh-CN"/>
              </w:rPr>
              <w:t>1</w:t>
            </w:r>
          </w:p>
          <w:p w14:paraId="0588F2EA">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napToGrid w:val="0"/>
                <w:color w:val="000000"/>
                <w:sz w:val="18"/>
                <w:szCs w:val="18"/>
                <w:lang w:val="en-US" w:eastAsia="zh-CN" w:bidi="ar-SA"/>
              </w:rPr>
              <w:t>年度累计走访企业、律所等数量</w:t>
            </w:r>
          </w:p>
        </w:tc>
        <w:tc>
          <w:tcPr>
            <w:tcW w:w="231" w:type="pct"/>
            <w:shd w:val="clear" w:color="auto" w:fill="auto"/>
            <w:vAlign w:val="center"/>
          </w:tcPr>
          <w:p w14:paraId="705BF76A">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napToGrid w:val="0"/>
                <w:color w:val="000000"/>
                <w:sz w:val="18"/>
                <w:szCs w:val="18"/>
                <w:lang w:val="en-US" w:eastAsia="en-US" w:bidi="ar-SA"/>
              </w:rPr>
              <w:t>≥40家</w:t>
            </w:r>
          </w:p>
        </w:tc>
        <w:tc>
          <w:tcPr>
            <w:tcW w:w="151" w:type="pct"/>
            <w:shd w:val="clear" w:color="auto" w:fill="auto"/>
            <w:vAlign w:val="center"/>
          </w:tcPr>
          <w:p w14:paraId="46BCF461">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8</w:t>
            </w:r>
          </w:p>
        </w:tc>
        <w:tc>
          <w:tcPr>
            <w:tcW w:w="698" w:type="pct"/>
            <w:shd w:val="clear" w:color="auto" w:fill="auto"/>
            <w:vAlign w:val="center"/>
          </w:tcPr>
          <w:p w14:paraId="60EAB54F">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考察宣传拓展工作是否开展，反映履职目标的实现程度。</w:t>
            </w:r>
          </w:p>
        </w:tc>
        <w:tc>
          <w:tcPr>
            <w:tcW w:w="1608" w:type="pct"/>
            <w:shd w:val="clear" w:color="auto" w:fill="auto"/>
            <w:vAlign w:val="center"/>
          </w:tcPr>
          <w:p w14:paraId="01E3D823">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评价要点：</w:t>
            </w:r>
          </w:p>
          <w:p w14:paraId="7F23987F">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w:t>
            </w:r>
            <w:r>
              <w:rPr>
                <w:rFonts w:hint="eastAsia" w:ascii="仿宋_GB2312" w:hAnsi="仿宋_GB2312" w:eastAsia="仿宋_GB2312" w:cs="仿宋_GB2312"/>
                <w:sz w:val="18"/>
                <w:szCs w:val="18"/>
                <w:lang w:val="en-US" w:eastAsia="zh-CN"/>
              </w:rPr>
              <w:t>走访企业、律师等数量</w:t>
            </w:r>
            <w:r>
              <w:rPr>
                <w:rFonts w:hint="eastAsia" w:ascii="仿宋_GB2312" w:hAnsi="仿宋_GB2312" w:eastAsia="仿宋_GB2312" w:cs="仿宋_GB2312"/>
                <w:sz w:val="18"/>
                <w:szCs w:val="18"/>
                <w:lang w:eastAsia="zh-CN"/>
              </w:rPr>
              <w:t>。</w:t>
            </w:r>
          </w:p>
          <w:p w14:paraId="7372F0F5">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评分规则：完成相关工作得满分，否则不得分。</w:t>
            </w:r>
          </w:p>
        </w:tc>
        <w:tc>
          <w:tcPr>
            <w:tcW w:w="1240" w:type="pct"/>
            <w:shd w:val="clear" w:color="auto" w:fill="auto"/>
            <w:vAlign w:val="center"/>
          </w:tcPr>
          <w:p w14:paraId="264349BA">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lang w:eastAsia="zh-CN"/>
              </w:rPr>
              <w:t>.走访</w:t>
            </w:r>
            <w:r>
              <w:rPr>
                <w:rFonts w:hint="eastAsia" w:ascii="仿宋_GB2312" w:hAnsi="仿宋_GB2312" w:eastAsia="仿宋_GB2312" w:cs="仿宋_GB2312"/>
                <w:sz w:val="18"/>
                <w:szCs w:val="18"/>
                <w:lang w:val="en-US" w:eastAsia="zh-CN"/>
              </w:rPr>
              <w:t>省市国企、重点企业、律所50家</w:t>
            </w:r>
            <w:r>
              <w:rPr>
                <w:rFonts w:hint="eastAsia" w:ascii="仿宋_GB2312" w:hAnsi="仿宋_GB2312" w:eastAsia="仿宋_GB2312" w:cs="仿宋_GB2312"/>
                <w:sz w:val="18"/>
                <w:szCs w:val="18"/>
                <w:lang w:eastAsia="zh-CN"/>
              </w:rPr>
              <w:t>，达成。</w:t>
            </w:r>
          </w:p>
        </w:tc>
        <w:tc>
          <w:tcPr>
            <w:tcW w:w="233" w:type="pct"/>
            <w:shd w:val="clear" w:color="auto" w:fill="auto"/>
            <w:vAlign w:val="center"/>
          </w:tcPr>
          <w:p w14:paraId="31668E29">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8</w:t>
            </w:r>
          </w:p>
        </w:tc>
      </w:tr>
      <w:tr w14:paraId="75CAB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54" w:type="pct"/>
            <w:vMerge w:val="restart"/>
            <w:tcBorders>
              <w:right w:val="single" w:color="auto" w:sz="4" w:space="0"/>
            </w:tcBorders>
            <w:vAlign w:val="center"/>
          </w:tcPr>
          <w:p w14:paraId="225935FE">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lang w:eastAsia="zh-CN"/>
              </w:rPr>
              <w:t>D效益（28）</w:t>
            </w:r>
          </w:p>
        </w:tc>
        <w:tc>
          <w:tcPr>
            <w:tcW w:w="297" w:type="pct"/>
            <w:tcBorders>
              <w:left w:val="single" w:color="auto" w:sz="4" w:space="0"/>
              <w:right w:val="single" w:color="auto" w:sz="4" w:space="0"/>
            </w:tcBorders>
            <w:vAlign w:val="center"/>
          </w:tcPr>
          <w:p w14:paraId="577E590F">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D1</w:t>
            </w:r>
          </w:p>
          <w:p w14:paraId="7108D3C8">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经济效益</w:t>
            </w:r>
          </w:p>
          <w:p w14:paraId="5ADAA3F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4)</w:t>
            </w:r>
          </w:p>
        </w:tc>
        <w:tc>
          <w:tcPr>
            <w:tcW w:w="284" w:type="pct"/>
            <w:tcBorders>
              <w:left w:val="single" w:color="auto" w:sz="4" w:space="0"/>
            </w:tcBorders>
            <w:shd w:val="clear" w:color="auto" w:fill="auto"/>
            <w:vAlign w:val="center"/>
          </w:tcPr>
          <w:p w14:paraId="607395C2">
            <w:pPr>
              <w:pStyle w:val="9"/>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D1</w:t>
            </w:r>
            <w:r>
              <w:rPr>
                <w:rFonts w:hint="eastAsia" w:ascii="仿宋_GB2312" w:hAnsi="仿宋_GB2312" w:eastAsia="仿宋_GB2312" w:cs="仿宋_GB2312"/>
                <w:sz w:val="18"/>
                <w:szCs w:val="18"/>
                <w:lang w:val="en-US" w:eastAsia="zh-CN"/>
              </w:rPr>
              <w:t>1</w:t>
            </w:r>
          </w:p>
          <w:p w14:paraId="2F133571">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受理案件争议金额</w:t>
            </w:r>
          </w:p>
        </w:tc>
        <w:tc>
          <w:tcPr>
            <w:tcW w:w="231" w:type="pct"/>
            <w:shd w:val="clear" w:color="auto" w:fill="auto"/>
            <w:vAlign w:val="center"/>
          </w:tcPr>
          <w:p w14:paraId="5527D6A4">
            <w:pPr>
              <w:pStyle w:val="9"/>
              <w:jc w:val="center"/>
              <w:rPr>
                <w:rFonts w:hint="default"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40亿</w:t>
            </w:r>
          </w:p>
        </w:tc>
        <w:tc>
          <w:tcPr>
            <w:tcW w:w="151" w:type="pct"/>
            <w:shd w:val="clear" w:color="auto" w:fill="auto"/>
            <w:vAlign w:val="center"/>
          </w:tcPr>
          <w:p w14:paraId="445B1884">
            <w:pPr>
              <w:pStyle w:val="9"/>
              <w:jc w:val="center"/>
              <w:rPr>
                <w:rFonts w:hint="default"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14</w:t>
            </w:r>
          </w:p>
        </w:tc>
        <w:tc>
          <w:tcPr>
            <w:tcW w:w="698" w:type="pct"/>
            <w:shd w:val="clear" w:color="auto" w:fill="auto"/>
            <w:vAlign w:val="center"/>
          </w:tcPr>
          <w:p w14:paraId="15B526D0">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争议金额指的是仲裁案件中存在争议的标的金额，通过考察仲裁业务的争议金额，反映经济效益的实现程度。</w:t>
            </w:r>
          </w:p>
        </w:tc>
        <w:tc>
          <w:tcPr>
            <w:tcW w:w="1608" w:type="pct"/>
            <w:shd w:val="clear" w:color="auto" w:fill="auto"/>
            <w:vAlign w:val="center"/>
          </w:tcPr>
          <w:p w14:paraId="27F56D8D">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评价要点：</w:t>
            </w:r>
          </w:p>
          <w:p w14:paraId="5D873741">
            <w:pPr>
              <w:pStyle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1.年度受理案件</w:t>
            </w:r>
            <w:r>
              <w:rPr>
                <w:rFonts w:hint="eastAsia" w:ascii="仿宋_GB2312" w:hAnsi="仿宋_GB2312" w:eastAsia="仿宋_GB2312" w:cs="仿宋_GB2312"/>
                <w:sz w:val="18"/>
                <w:szCs w:val="18"/>
                <w:lang w:eastAsia="zh-CN"/>
              </w:rPr>
              <w:t>争议金额数。</w:t>
            </w:r>
          </w:p>
          <w:p w14:paraId="08B6735F">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评分规则：实际完成值达到标准值得满分，否则不得分。未达到标准值的每减少1%扣1%权重分。</w:t>
            </w:r>
          </w:p>
        </w:tc>
        <w:tc>
          <w:tcPr>
            <w:tcW w:w="1240" w:type="pct"/>
            <w:shd w:val="clear" w:color="auto" w:fill="auto"/>
            <w:vAlign w:val="center"/>
          </w:tcPr>
          <w:p w14:paraId="1B5C5F08">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根据业务系统截图，争议金额=</w:t>
            </w:r>
            <w:r>
              <w:rPr>
                <w:rFonts w:hint="eastAsia" w:ascii="仿宋_GB2312" w:hAnsi="仿宋_GB2312" w:eastAsia="仿宋_GB2312" w:cs="仿宋_GB2312"/>
                <w:sz w:val="18"/>
                <w:szCs w:val="18"/>
                <w:lang w:val="en-US" w:eastAsia="zh-CN"/>
              </w:rPr>
              <w:t>77</w:t>
            </w:r>
            <w:r>
              <w:rPr>
                <w:rFonts w:hint="eastAsia" w:ascii="仿宋_GB2312" w:hAnsi="仿宋_GB2312" w:eastAsia="仿宋_GB2312" w:cs="仿宋_GB2312"/>
                <w:sz w:val="18"/>
                <w:szCs w:val="18"/>
                <w:lang w:eastAsia="zh-CN"/>
              </w:rPr>
              <w:t>亿元，不扣分。</w:t>
            </w:r>
          </w:p>
        </w:tc>
        <w:tc>
          <w:tcPr>
            <w:tcW w:w="233" w:type="pct"/>
            <w:shd w:val="clear" w:color="auto" w:fill="auto"/>
            <w:vAlign w:val="center"/>
          </w:tcPr>
          <w:p w14:paraId="6D70CA90">
            <w:pPr>
              <w:pStyle w:val="9"/>
              <w:jc w:val="center"/>
              <w:rPr>
                <w:rFonts w:hint="default" w:ascii="仿宋_GB2312" w:hAnsi="仿宋_GB2312" w:eastAsia="仿宋_GB2312" w:cs="仿宋_GB2312"/>
                <w:snapToGrid w:val="0"/>
                <w:color w:val="000000"/>
                <w:sz w:val="18"/>
                <w:szCs w:val="18"/>
                <w:highlight w:val="none"/>
                <w:lang w:val="en-US" w:eastAsia="zh-CN" w:bidi="ar-SA"/>
              </w:rPr>
            </w:pPr>
            <w:r>
              <w:rPr>
                <w:rFonts w:hint="eastAsia" w:ascii="仿宋_GB2312" w:hAnsi="仿宋_GB2312" w:eastAsia="仿宋_GB2312" w:cs="仿宋_GB2312"/>
                <w:sz w:val="18"/>
                <w:szCs w:val="18"/>
                <w:highlight w:val="none"/>
                <w:lang w:val="en-US" w:eastAsia="zh-CN"/>
              </w:rPr>
              <w:t>14</w:t>
            </w:r>
          </w:p>
        </w:tc>
      </w:tr>
      <w:tr w14:paraId="5D1CF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254" w:type="pct"/>
            <w:vMerge w:val="continue"/>
            <w:tcBorders>
              <w:right w:val="single" w:color="auto" w:sz="4" w:space="0"/>
            </w:tcBorders>
            <w:vAlign w:val="center"/>
          </w:tcPr>
          <w:p w14:paraId="717B763E">
            <w:pPr>
              <w:pStyle w:val="9"/>
              <w:jc w:val="center"/>
              <w:rPr>
                <w:rFonts w:hint="eastAsia" w:ascii="仿宋_GB2312" w:hAnsi="仿宋_GB2312" w:eastAsia="仿宋_GB2312" w:cs="仿宋_GB2312"/>
                <w:sz w:val="18"/>
                <w:szCs w:val="18"/>
                <w:highlight w:val="none"/>
              </w:rPr>
            </w:pPr>
          </w:p>
        </w:tc>
        <w:tc>
          <w:tcPr>
            <w:tcW w:w="297" w:type="pct"/>
            <w:tcBorders>
              <w:left w:val="single" w:color="auto" w:sz="4" w:space="0"/>
              <w:right w:val="single" w:color="auto" w:sz="4" w:space="0"/>
            </w:tcBorders>
            <w:vAlign w:val="center"/>
          </w:tcPr>
          <w:p w14:paraId="2277519A">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D2</w:t>
            </w:r>
          </w:p>
          <w:p w14:paraId="6FC26CC3">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社会效益</w:t>
            </w:r>
          </w:p>
          <w:p w14:paraId="4B05E31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rPr>
              <w:t>)</w:t>
            </w:r>
          </w:p>
        </w:tc>
        <w:tc>
          <w:tcPr>
            <w:tcW w:w="284" w:type="pct"/>
            <w:tcBorders>
              <w:left w:val="single" w:color="auto" w:sz="4" w:space="0"/>
            </w:tcBorders>
            <w:shd w:val="clear" w:color="auto" w:fill="auto"/>
            <w:vAlign w:val="center"/>
          </w:tcPr>
          <w:p w14:paraId="006D77DF">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D2</w:t>
            </w:r>
            <w:r>
              <w:rPr>
                <w:rFonts w:hint="eastAsia" w:ascii="仿宋_GB2312" w:hAnsi="仿宋_GB2312" w:eastAsia="仿宋_GB2312" w:cs="仿宋_GB2312"/>
                <w:sz w:val="18"/>
                <w:szCs w:val="18"/>
                <w:lang w:val="en-US" w:eastAsia="zh-CN"/>
              </w:rPr>
              <w:t>1</w:t>
            </w:r>
          </w:p>
          <w:p w14:paraId="4593BE66">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highlight w:val="none"/>
                <w:lang w:eastAsia="zh-CN"/>
              </w:rPr>
              <w:t>仲裁案件</w:t>
            </w:r>
            <w:r>
              <w:rPr>
                <w:rFonts w:hint="eastAsia" w:ascii="仿宋_GB2312" w:hAnsi="仿宋_GB2312" w:eastAsia="仿宋_GB2312" w:cs="仿宋_GB2312"/>
                <w:sz w:val="18"/>
                <w:szCs w:val="18"/>
                <w:highlight w:val="none"/>
              </w:rPr>
              <w:t>结案率</w:t>
            </w:r>
          </w:p>
        </w:tc>
        <w:tc>
          <w:tcPr>
            <w:tcW w:w="231" w:type="pct"/>
            <w:shd w:val="clear" w:color="auto" w:fill="auto"/>
            <w:vAlign w:val="center"/>
          </w:tcPr>
          <w:p w14:paraId="6B008F39">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highlight w:val="none"/>
              </w:rPr>
              <w:t>≥80%</w:t>
            </w:r>
          </w:p>
        </w:tc>
        <w:tc>
          <w:tcPr>
            <w:tcW w:w="151" w:type="pct"/>
            <w:shd w:val="clear" w:color="auto" w:fill="auto"/>
            <w:vAlign w:val="center"/>
          </w:tcPr>
          <w:p w14:paraId="413DBA91">
            <w:pPr>
              <w:pStyle w:val="9"/>
              <w:jc w:val="center"/>
              <w:rPr>
                <w:rFonts w:hint="default"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highlight w:val="none"/>
                <w:lang w:val="en-US" w:eastAsia="zh-CN"/>
              </w:rPr>
              <w:t>14</w:t>
            </w:r>
          </w:p>
        </w:tc>
        <w:tc>
          <w:tcPr>
            <w:tcW w:w="698" w:type="pct"/>
            <w:shd w:val="clear" w:color="auto" w:fill="auto"/>
            <w:vAlign w:val="center"/>
          </w:tcPr>
          <w:p w14:paraId="0BDBADB0">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highlight w:val="none"/>
                <w:lang w:eastAsia="zh-CN"/>
              </w:rPr>
              <w:t>考察仲栽案件结案数量情况，反映社会效益的实现程度。</w:t>
            </w:r>
          </w:p>
        </w:tc>
        <w:tc>
          <w:tcPr>
            <w:tcW w:w="1608" w:type="pct"/>
            <w:shd w:val="clear" w:color="auto" w:fill="auto"/>
            <w:vAlign w:val="center"/>
          </w:tcPr>
          <w:p w14:paraId="6A720CA8">
            <w:pPr>
              <w:pStyle w:val="9"/>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lang w:eastAsia="zh-CN"/>
              </w:rPr>
              <w:t>结案率=结案案件数/受理案件数*100%。</w:t>
            </w:r>
          </w:p>
          <w:p w14:paraId="3D471336">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highlight w:val="none"/>
                <w:lang w:eastAsia="zh-CN"/>
              </w:rPr>
              <w:t>评分规则：实际完成值达到标准值得满分，未达到标准值的每减少1%扣1%权重分。</w:t>
            </w:r>
          </w:p>
        </w:tc>
        <w:tc>
          <w:tcPr>
            <w:tcW w:w="1240" w:type="pct"/>
            <w:shd w:val="clear" w:color="auto" w:fill="auto"/>
            <w:vAlign w:val="center"/>
          </w:tcPr>
          <w:p w14:paraId="5D18848A">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highlight w:val="none"/>
                <w:lang w:eastAsia="zh-CN"/>
              </w:rPr>
              <w:t>根据仲裁业务系统截图，202</w:t>
            </w:r>
            <w:r>
              <w:rPr>
                <w:rFonts w:hint="eastAsia" w:ascii="仿宋_GB2312" w:hAnsi="仿宋_GB2312" w:eastAsia="仿宋_GB2312" w:cs="仿宋_GB2312"/>
                <w:sz w:val="18"/>
                <w:szCs w:val="18"/>
                <w:highlight w:val="none"/>
                <w:lang w:val="en-US" w:eastAsia="zh-CN"/>
              </w:rPr>
              <w:t>4</w:t>
            </w:r>
            <w:r>
              <w:rPr>
                <w:rFonts w:hint="eastAsia" w:ascii="仿宋_GB2312" w:hAnsi="仿宋_GB2312" w:eastAsia="仿宋_GB2312" w:cs="仿宋_GB2312"/>
                <w:sz w:val="18"/>
                <w:szCs w:val="18"/>
                <w:highlight w:val="none"/>
                <w:lang w:eastAsia="zh-CN"/>
              </w:rPr>
              <w:t>年度结案案件</w:t>
            </w:r>
            <w:r>
              <w:rPr>
                <w:rFonts w:hint="eastAsia" w:ascii="仿宋_GB2312" w:hAnsi="仿宋_GB2312" w:eastAsia="仿宋_GB2312" w:cs="仿宋_GB2312"/>
                <w:sz w:val="18"/>
                <w:szCs w:val="18"/>
                <w:highlight w:val="none"/>
                <w:lang w:val="en-US" w:eastAsia="zh-CN"/>
              </w:rPr>
              <w:t>2388</w:t>
            </w:r>
            <w:r>
              <w:rPr>
                <w:rFonts w:hint="eastAsia" w:ascii="仿宋_GB2312" w:hAnsi="仿宋_GB2312" w:eastAsia="仿宋_GB2312" w:cs="仿宋_GB2312"/>
                <w:sz w:val="18"/>
                <w:szCs w:val="18"/>
                <w:highlight w:val="none"/>
                <w:lang w:eastAsia="zh-CN"/>
              </w:rPr>
              <w:t>件，结案率=结案案件数</w:t>
            </w:r>
            <w:r>
              <w:rPr>
                <w:rFonts w:hint="eastAsia" w:ascii="仿宋_GB2312" w:hAnsi="仿宋_GB2312" w:eastAsia="仿宋_GB2312" w:cs="仿宋_GB2312"/>
                <w:sz w:val="18"/>
                <w:szCs w:val="18"/>
                <w:highlight w:val="none"/>
                <w:lang w:val="en-US" w:eastAsia="zh-CN"/>
              </w:rPr>
              <w:t>2388</w:t>
            </w:r>
            <w:r>
              <w:rPr>
                <w:rFonts w:hint="eastAsia" w:ascii="仿宋_GB2312" w:hAnsi="仿宋_GB2312" w:eastAsia="仿宋_GB2312" w:cs="仿宋_GB2312"/>
                <w:sz w:val="18"/>
                <w:szCs w:val="18"/>
                <w:highlight w:val="none"/>
                <w:lang w:eastAsia="zh-CN"/>
              </w:rPr>
              <w:t>件/受理案件数</w:t>
            </w:r>
            <w:r>
              <w:rPr>
                <w:rFonts w:hint="eastAsia" w:ascii="仿宋_GB2312" w:hAnsi="仿宋_GB2312" w:eastAsia="仿宋_GB2312" w:cs="仿宋_GB2312"/>
                <w:sz w:val="18"/>
                <w:szCs w:val="18"/>
                <w:highlight w:val="none"/>
                <w:lang w:val="en-US" w:eastAsia="zh-CN"/>
              </w:rPr>
              <w:t>2574</w:t>
            </w:r>
            <w:r>
              <w:rPr>
                <w:rFonts w:hint="eastAsia" w:ascii="仿宋_GB2312" w:hAnsi="仿宋_GB2312" w:eastAsia="仿宋_GB2312" w:cs="仿宋_GB2312"/>
                <w:sz w:val="18"/>
                <w:szCs w:val="18"/>
                <w:highlight w:val="none"/>
                <w:lang w:eastAsia="zh-CN"/>
              </w:rPr>
              <w:t>件100%=</w:t>
            </w:r>
            <w:r>
              <w:rPr>
                <w:rFonts w:hint="eastAsia" w:ascii="仿宋_GB2312" w:hAnsi="仿宋_GB2312" w:eastAsia="仿宋_GB2312" w:cs="仿宋_GB2312"/>
                <w:sz w:val="18"/>
                <w:szCs w:val="18"/>
                <w:highlight w:val="none"/>
                <w:lang w:val="en-US" w:eastAsia="zh-CN"/>
              </w:rPr>
              <w:t>92.77</w:t>
            </w:r>
            <w:r>
              <w:rPr>
                <w:rFonts w:hint="eastAsia" w:ascii="仿宋_GB2312" w:hAnsi="仿宋_GB2312" w:eastAsia="仿宋_GB2312" w:cs="仿宋_GB2312"/>
                <w:sz w:val="18"/>
                <w:szCs w:val="18"/>
                <w:highlight w:val="none"/>
                <w:lang w:eastAsia="zh-CN"/>
              </w:rPr>
              <w:t>%,达成。</w:t>
            </w:r>
          </w:p>
        </w:tc>
        <w:tc>
          <w:tcPr>
            <w:tcW w:w="233" w:type="pct"/>
            <w:shd w:val="clear" w:color="auto" w:fill="auto"/>
            <w:vAlign w:val="center"/>
          </w:tcPr>
          <w:p w14:paraId="6CAF169E">
            <w:pPr>
              <w:pStyle w:val="9"/>
              <w:jc w:val="center"/>
              <w:rPr>
                <w:rFonts w:hint="default"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14</w:t>
            </w:r>
          </w:p>
        </w:tc>
      </w:tr>
      <w:tr w14:paraId="2777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254" w:type="pct"/>
            <w:tcBorders>
              <w:right w:val="single" w:color="auto" w:sz="4" w:space="0"/>
            </w:tcBorders>
            <w:vAlign w:val="center"/>
          </w:tcPr>
          <w:p w14:paraId="4A1D9A97">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E满意</w:t>
            </w:r>
          </w:p>
          <w:p w14:paraId="490D7252">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度</w:t>
            </w:r>
          </w:p>
          <w:p w14:paraId="137E6F58">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(10)</w:t>
            </w:r>
          </w:p>
        </w:tc>
        <w:tc>
          <w:tcPr>
            <w:tcW w:w="297" w:type="pct"/>
            <w:tcBorders>
              <w:left w:val="single" w:color="auto" w:sz="4" w:space="0"/>
              <w:right w:val="single" w:color="auto" w:sz="4" w:space="0"/>
            </w:tcBorders>
            <w:vAlign w:val="center"/>
          </w:tcPr>
          <w:p w14:paraId="794D5502">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E1</w:t>
            </w:r>
          </w:p>
          <w:p w14:paraId="6491B395">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服务对象满意度</w:t>
            </w:r>
          </w:p>
          <w:p w14:paraId="69FF7B80">
            <w:pPr>
              <w:pStyle w:val="9"/>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(10)</w:t>
            </w:r>
          </w:p>
        </w:tc>
        <w:tc>
          <w:tcPr>
            <w:tcW w:w="284" w:type="pct"/>
            <w:tcBorders>
              <w:left w:val="single" w:color="auto" w:sz="4" w:space="0"/>
            </w:tcBorders>
            <w:shd w:val="clear" w:color="auto" w:fill="auto"/>
            <w:vAlign w:val="center"/>
          </w:tcPr>
          <w:p w14:paraId="337BF087">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E12</w:t>
            </w:r>
          </w:p>
          <w:p w14:paraId="0AE76A44">
            <w:pPr>
              <w:pStyle w:val="9"/>
              <w:jc w:val="center"/>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不满意率</w:t>
            </w:r>
          </w:p>
        </w:tc>
        <w:tc>
          <w:tcPr>
            <w:tcW w:w="231" w:type="pct"/>
            <w:shd w:val="clear" w:color="auto" w:fill="auto"/>
            <w:vAlign w:val="center"/>
          </w:tcPr>
          <w:p w14:paraId="50326753">
            <w:pPr>
              <w:pStyle w:val="9"/>
              <w:jc w:val="center"/>
              <w:rPr>
                <w:rFonts w:hint="eastAsia" w:ascii="仿宋_GB2312" w:hAnsi="仿宋_GB2312" w:eastAsia="仿宋_GB2312" w:cs="仿宋_GB2312"/>
                <w:snapToGrid w:val="0"/>
                <w:color w:val="000000"/>
                <w:sz w:val="18"/>
                <w:szCs w:val="18"/>
                <w:lang w:val="en-US" w:eastAsia="en-US" w:bidi="ar-SA"/>
              </w:rPr>
            </w:pPr>
            <w:r>
              <w:rPr>
                <w:rFonts w:hint="eastAsia" w:ascii="仿宋_GB2312" w:hAnsi="仿宋_GB2312" w:eastAsia="仿宋_GB2312" w:cs="仿宋_GB2312"/>
                <w:sz w:val="18"/>
                <w:szCs w:val="18"/>
              </w:rPr>
              <w:t>≤10%</w:t>
            </w:r>
          </w:p>
        </w:tc>
        <w:tc>
          <w:tcPr>
            <w:tcW w:w="151" w:type="pct"/>
            <w:shd w:val="clear" w:color="auto" w:fill="auto"/>
            <w:vAlign w:val="center"/>
          </w:tcPr>
          <w:p w14:paraId="7B1C09AE">
            <w:pPr>
              <w:pStyle w:val="9"/>
              <w:jc w:val="center"/>
              <w:rPr>
                <w:rFonts w:hint="default"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10</w:t>
            </w:r>
          </w:p>
        </w:tc>
        <w:tc>
          <w:tcPr>
            <w:tcW w:w="698" w:type="pct"/>
            <w:shd w:val="clear" w:color="auto" w:fill="auto"/>
            <w:vAlign w:val="center"/>
          </w:tcPr>
          <w:p w14:paraId="38641E44">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考核服务对象对部门履职效果的满意程度。</w:t>
            </w:r>
          </w:p>
        </w:tc>
        <w:tc>
          <w:tcPr>
            <w:tcW w:w="1608" w:type="pct"/>
            <w:shd w:val="clear" w:color="auto" w:fill="auto"/>
            <w:vAlign w:val="center"/>
          </w:tcPr>
          <w:p w14:paraId="426BC8DF">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评分规则：按照考核得分计算分值，计算不满意率=（</w:t>
            </w:r>
            <w:r>
              <w:rPr>
                <w:rFonts w:hint="eastAsia" w:ascii="仿宋_GB2312" w:hAnsi="仿宋_GB2312" w:eastAsia="仿宋_GB2312" w:cs="仿宋_GB2312"/>
                <w:sz w:val="18"/>
                <w:szCs w:val="18"/>
                <w:lang w:val="en-US" w:eastAsia="zh-CN"/>
              </w:rPr>
              <w:t>100-</w:t>
            </w:r>
            <w:r>
              <w:rPr>
                <w:rFonts w:hint="eastAsia" w:ascii="仿宋_GB2312" w:hAnsi="仿宋_GB2312" w:eastAsia="仿宋_GB2312" w:cs="仿宋_GB2312"/>
                <w:sz w:val="18"/>
                <w:szCs w:val="18"/>
                <w:lang w:eastAsia="zh-CN"/>
              </w:rPr>
              <w:t>考核分数）</w:t>
            </w:r>
            <w:r>
              <w:rPr>
                <w:rFonts w:hint="eastAsia" w:ascii="仿宋_GB2312" w:hAnsi="仿宋_GB2312" w:eastAsia="仿宋_GB2312" w:cs="仿宋_GB2312"/>
                <w:sz w:val="18"/>
                <w:szCs w:val="18"/>
                <w:lang w:val="en-US" w:eastAsia="zh-CN"/>
              </w:rPr>
              <w:t>/100。</w:t>
            </w:r>
            <w:r>
              <w:rPr>
                <w:rFonts w:hint="eastAsia" w:ascii="仿宋_GB2312" w:hAnsi="仿宋_GB2312" w:eastAsia="仿宋_GB2312" w:cs="仿宋_GB2312"/>
                <w:sz w:val="18"/>
                <w:szCs w:val="18"/>
                <w:highlight w:val="none"/>
                <w:lang w:eastAsia="zh-CN"/>
              </w:rPr>
              <w:t>未达到标准值的每增加1%扣</w:t>
            </w:r>
            <w:r>
              <w:rPr>
                <w:rFonts w:hint="eastAsia" w:ascii="仿宋_GB2312" w:hAnsi="仿宋_GB2312" w:eastAsia="仿宋_GB2312" w:cs="仿宋_GB2312"/>
                <w:sz w:val="18"/>
                <w:szCs w:val="18"/>
                <w:highlight w:val="none"/>
                <w:lang w:val="en-US" w:eastAsia="zh-CN"/>
              </w:rPr>
              <w:t>1分，扣完为止</w:t>
            </w:r>
            <w:r>
              <w:rPr>
                <w:rFonts w:hint="eastAsia" w:ascii="仿宋_GB2312" w:hAnsi="仿宋_GB2312" w:eastAsia="仿宋_GB2312" w:cs="仿宋_GB2312"/>
                <w:sz w:val="18"/>
                <w:szCs w:val="18"/>
                <w:lang w:eastAsia="zh-CN"/>
              </w:rPr>
              <w:t>。</w:t>
            </w:r>
          </w:p>
        </w:tc>
        <w:tc>
          <w:tcPr>
            <w:tcW w:w="1240" w:type="pct"/>
            <w:shd w:val="clear" w:color="auto" w:fill="auto"/>
            <w:vAlign w:val="center"/>
          </w:tcPr>
          <w:p w14:paraId="35A02A8E">
            <w:pPr>
              <w:pStyle w:val="9"/>
              <w:rPr>
                <w:rFonts w:hint="eastAsia"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eastAsia="zh-CN"/>
              </w:rPr>
              <w:t>根据综合考核反馈结果，计算不满意率</w:t>
            </w:r>
            <w:r>
              <w:rPr>
                <w:rFonts w:hint="eastAsia" w:ascii="仿宋_GB2312" w:hAnsi="仿宋_GB2312" w:eastAsia="仿宋_GB2312" w:cs="仿宋_GB2312"/>
                <w:sz w:val="18"/>
                <w:szCs w:val="18"/>
                <w:lang w:val="en-US" w:eastAsia="zh-CN"/>
              </w:rPr>
              <w:t>=（100-97.23）/100=2.77%,不扣分</w:t>
            </w:r>
            <w:r>
              <w:rPr>
                <w:rFonts w:hint="eastAsia" w:ascii="仿宋_GB2312" w:hAnsi="仿宋_GB2312" w:eastAsia="仿宋_GB2312" w:cs="仿宋_GB2312"/>
                <w:sz w:val="18"/>
                <w:szCs w:val="18"/>
                <w:lang w:eastAsia="zh-CN"/>
              </w:rPr>
              <w:t>。</w:t>
            </w:r>
          </w:p>
        </w:tc>
        <w:tc>
          <w:tcPr>
            <w:tcW w:w="233" w:type="pct"/>
            <w:shd w:val="clear" w:color="auto" w:fill="auto"/>
            <w:vAlign w:val="center"/>
          </w:tcPr>
          <w:p w14:paraId="6F4490EA">
            <w:pPr>
              <w:pStyle w:val="9"/>
              <w:jc w:val="center"/>
              <w:rPr>
                <w:rFonts w:hint="default" w:ascii="仿宋_GB2312" w:hAnsi="仿宋_GB2312" w:eastAsia="仿宋_GB2312" w:cs="仿宋_GB2312"/>
                <w:snapToGrid w:val="0"/>
                <w:color w:val="000000"/>
                <w:sz w:val="18"/>
                <w:szCs w:val="18"/>
                <w:lang w:val="en-US" w:eastAsia="zh-CN" w:bidi="ar-SA"/>
              </w:rPr>
            </w:pPr>
            <w:r>
              <w:rPr>
                <w:rFonts w:hint="eastAsia" w:ascii="仿宋_GB2312" w:hAnsi="仿宋_GB2312" w:eastAsia="仿宋_GB2312" w:cs="仿宋_GB2312"/>
                <w:sz w:val="18"/>
                <w:szCs w:val="18"/>
                <w:lang w:val="en-US" w:eastAsia="zh-CN"/>
              </w:rPr>
              <w:t>10</w:t>
            </w:r>
          </w:p>
        </w:tc>
      </w:tr>
      <w:tr w14:paraId="7319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836" w:type="pct"/>
            <w:gridSpan w:val="3"/>
            <w:vAlign w:val="center"/>
          </w:tcPr>
          <w:p w14:paraId="2973F910">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合计</w:t>
            </w:r>
          </w:p>
        </w:tc>
        <w:tc>
          <w:tcPr>
            <w:tcW w:w="231" w:type="pct"/>
            <w:shd w:val="clear" w:color="auto" w:fill="auto"/>
            <w:vAlign w:val="center"/>
          </w:tcPr>
          <w:p w14:paraId="2EA056E5">
            <w:pPr>
              <w:pStyle w:val="9"/>
              <w:jc w:val="center"/>
              <w:rPr>
                <w:rFonts w:hint="eastAsia" w:ascii="仿宋_GB2312" w:hAnsi="仿宋_GB2312" w:eastAsia="仿宋_GB2312" w:cs="仿宋_GB2312"/>
                <w:sz w:val="18"/>
                <w:szCs w:val="18"/>
              </w:rPr>
            </w:pPr>
          </w:p>
        </w:tc>
        <w:tc>
          <w:tcPr>
            <w:tcW w:w="151" w:type="pct"/>
            <w:shd w:val="clear" w:color="auto" w:fill="auto"/>
            <w:vAlign w:val="center"/>
          </w:tcPr>
          <w:p w14:paraId="1AFAF2CD">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100</w:t>
            </w:r>
          </w:p>
        </w:tc>
        <w:tc>
          <w:tcPr>
            <w:tcW w:w="698" w:type="pct"/>
            <w:shd w:val="clear" w:color="auto" w:fill="auto"/>
            <w:vAlign w:val="center"/>
          </w:tcPr>
          <w:p w14:paraId="252B4250">
            <w:pPr>
              <w:pStyle w:val="9"/>
              <w:rPr>
                <w:rFonts w:hint="eastAsia" w:ascii="仿宋_GB2312" w:hAnsi="仿宋_GB2312" w:eastAsia="仿宋_GB2312" w:cs="仿宋_GB2312"/>
                <w:sz w:val="18"/>
                <w:szCs w:val="18"/>
                <w:lang w:eastAsia="zh-CN"/>
              </w:rPr>
            </w:pPr>
          </w:p>
        </w:tc>
        <w:tc>
          <w:tcPr>
            <w:tcW w:w="1608" w:type="pct"/>
            <w:shd w:val="clear" w:color="auto" w:fill="auto"/>
            <w:vAlign w:val="center"/>
          </w:tcPr>
          <w:p w14:paraId="1D255374">
            <w:pPr>
              <w:pStyle w:val="9"/>
              <w:jc w:val="center"/>
              <w:rPr>
                <w:rFonts w:hint="eastAsia" w:ascii="仿宋_GB2312" w:hAnsi="仿宋_GB2312" w:eastAsia="仿宋_GB2312" w:cs="仿宋_GB2312"/>
                <w:sz w:val="18"/>
                <w:szCs w:val="18"/>
                <w:lang w:eastAsia="zh-CN"/>
              </w:rPr>
            </w:pPr>
          </w:p>
        </w:tc>
        <w:tc>
          <w:tcPr>
            <w:tcW w:w="1240" w:type="pct"/>
            <w:shd w:val="clear" w:color="auto" w:fill="auto"/>
            <w:vAlign w:val="center"/>
          </w:tcPr>
          <w:p w14:paraId="5270720D">
            <w:pPr>
              <w:pStyle w:val="9"/>
              <w:rPr>
                <w:rFonts w:hint="eastAsia" w:ascii="仿宋_GB2312" w:hAnsi="仿宋_GB2312" w:eastAsia="仿宋_GB2312" w:cs="仿宋_GB2312"/>
                <w:sz w:val="18"/>
                <w:szCs w:val="18"/>
                <w:lang w:eastAsia="zh-CN"/>
              </w:rPr>
            </w:pPr>
          </w:p>
        </w:tc>
        <w:tc>
          <w:tcPr>
            <w:tcW w:w="233" w:type="pct"/>
            <w:shd w:val="clear" w:color="auto" w:fill="auto"/>
            <w:vAlign w:val="center"/>
          </w:tcPr>
          <w:p w14:paraId="6875D05B">
            <w:pPr>
              <w:pStyle w:val="9"/>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99.39</w:t>
            </w:r>
          </w:p>
        </w:tc>
      </w:tr>
    </w:tbl>
    <w:p w14:paraId="13920DE9">
      <w:pPr>
        <w:rPr>
          <w:highlight w:val="none"/>
          <w:lang w:eastAsia="zh-CN"/>
        </w:rPr>
      </w:pPr>
    </w:p>
    <w:sectPr>
      <w:footerReference r:id="rId4" w:type="default"/>
      <w:pgSz w:w="16839" w:h="11907"/>
      <w:pgMar w:top="1012" w:right="266" w:bottom="400" w:left="204" w:header="0" w:footer="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1D7A">
    <w:pPr>
      <w:spacing w:line="177" w:lineRule="auto"/>
      <w:ind w:left="408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48A18">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40848A18">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5D0B2">
    <w:pPr>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A8C56">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560A8C56">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mRlYjZmZjRlYTg3YTVlYWJjZDM3NmM3MTIzNGZjZGQifQ=="/>
  </w:docVars>
  <w:rsids>
    <w:rsidRoot w:val="0074447D"/>
    <w:rsid w:val="00037071"/>
    <w:rsid w:val="000A7D6E"/>
    <w:rsid w:val="00104FD1"/>
    <w:rsid w:val="00152447"/>
    <w:rsid w:val="00173F44"/>
    <w:rsid w:val="0021199F"/>
    <w:rsid w:val="00213CEE"/>
    <w:rsid w:val="00281B03"/>
    <w:rsid w:val="002A4E53"/>
    <w:rsid w:val="002F334E"/>
    <w:rsid w:val="002F7553"/>
    <w:rsid w:val="00321386"/>
    <w:rsid w:val="003452F3"/>
    <w:rsid w:val="003463B7"/>
    <w:rsid w:val="00360FF0"/>
    <w:rsid w:val="003671F9"/>
    <w:rsid w:val="0037139D"/>
    <w:rsid w:val="003C4C54"/>
    <w:rsid w:val="003E27A3"/>
    <w:rsid w:val="00444590"/>
    <w:rsid w:val="00622FB5"/>
    <w:rsid w:val="00644D5E"/>
    <w:rsid w:val="00651CCA"/>
    <w:rsid w:val="0066657C"/>
    <w:rsid w:val="006A187D"/>
    <w:rsid w:val="0074447D"/>
    <w:rsid w:val="007C74CC"/>
    <w:rsid w:val="00817BEA"/>
    <w:rsid w:val="008215F9"/>
    <w:rsid w:val="008A68F4"/>
    <w:rsid w:val="008A6E47"/>
    <w:rsid w:val="008A6ED3"/>
    <w:rsid w:val="0091063A"/>
    <w:rsid w:val="009133AA"/>
    <w:rsid w:val="00916CCC"/>
    <w:rsid w:val="0093139E"/>
    <w:rsid w:val="00983203"/>
    <w:rsid w:val="009E4DEB"/>
    <w:rsid w:val="009F22AD"/>
    <w:rsid w:val="00A152C6"/>
    <w:rsid w:val="00A664BC"/>
    <w:rsid w:val="00A6705F"/>
    <w:rsid w:val="00A83FEB"/>
    <w:rsid w:val="00AD59EF"/>
    <w:rsid w:val="00B47F57"/>
    <w:rsid w:val="00B645B8"/>
    <w:rsid w:val="00C63955"/>
    <w:rsid w:val="00D04EF5"/>
    <w:rsid w:val="00D142D4"/>
    <w:rsid w:val="00D228D0"/>
    <w:rsid w:val="00D3409E"/>
    <w:rsid w:val="00D90458"/>
    <w:rsid w:val="00DC7253"/>
    <w:rsid w:val="00E30160"/>
    <w:rsid w:val="00E52BE2"/>
    <w:rsid w:val="00E67A8D"/>
    <w:rsid w:val="00EA0CB9"/>
    <w:rsid w:val="00EF6617"/>
    <w:rsid w:val="00F11CA8"/>
    <w:rsid w:val="00F8518E"/>
    <w:rsid w:val="00FE0CAA"/>
    <w:rsid w:val="00FE1A1A"/>
    <w:rsid w:val="015F5D72"/>
    <w:rsid w:val="023F5CCC"/>
    <w:rsid w:val="02EB37D3"/>
    <w:rsid w:val="03210E71"/>
    <w:rsid w:val="039447DF"/>
    <w:rsid w:val="042B3211"/>
    <w:rsid w:val="07716FC5"/>
    <w:rsid w:val="087E15BA"/>
    <w:rsid w:val="09045F63"/>
    <w:rsid w:val="0A0816E0"/>
    <w:rsid w:val="0A3F15AD"/>
    <w:rsid w:val="0A4554D3"/>
    <w:rsid w:val="0A9E0338"/>
    <w:rsid w:val="0C090D29"/>
    <w:rsid w:val="0D1B1ACD"/>
    <w:rsid w:val="113B11DD"/>
    <w:rsid w:val="11954586"/>
    <w:rsid w:val="11C93525"/>
    <w:rsid w:val="11DF0BCF"/>
    <w:rsid w:val="1356593D"/>
    <w:rsid w:val="14DC75FE"/>
    <w:rsid w:val="14FC5E11"/>
    <w:rsid w:val="162A4334"/>
    <w:rsid w:val="177C5C31"/>
    <w:rsid w:val="17AE28C8"/>
    <w:rsid w:val="18CD7130"/>
    <w:rsid w:val="19185113"/>
    <w:rsid w:val="19455539"/>
    <w:rsid w:val="1F2D6185"/>
    <w:rsid w:val="1F663A80"/>
    <w:rsid w:val="22B54889"/>
    <w:rsid w:val="2505490A"/>
    <w:rsid w:val="25EE2BC7"/>
    <w:rsid w:val="26527C90"/>
    <w:rsid w:val="26CC7C68"/>
    <w:rsid w:val="273D46C2"/>
    <w:rsid w:val="28285372"/>
    <w:rsid w:val="29595C8E"/>
    <w:rsid w:val="29E20DC6"/>
    <w:rsid w:val="2C4657AD"/>
    <w:rsid w:val="3003136E"/>
    <w:rsid w:val="320534A5"/>
    <w:rsid w:val="325E1F87"/>
    <w:rsid w:val="32A63A63"/>
    <w:rsid w:val="33792F26"/>
    <w:rsid w:val="33D75E9F"/>
    <w:rsid w:val="341A2AA6"/>
    <w:rsid w:val="34272B9E"/>
    <w:rsid w:val="34467EB8"/>
    <w:rsid w:val="36EA4561"/>
    <w:rsid w:val="37331329"/>
    <w:rsid w:val="39A57F90"/>
    <w:rsid w:val="39BF3486"/>
    <w:rsid w:val="3A6E1593"/>
    <w:rsid w:val="3B016796"/>
    <w:rsid w:val="3B977DCF"/>
    <w:rsid w:val="3B9E2DF3"/>
    <w:rsid w:val="3BA657A2"/>
    <w:rsid w:val="3C752336"/>
    <w:rsid w:val="3D263C45"/>
    <w:rsid w:val="3F702753"/>
    <w:rsid w:val="403F1053"/>
    <w:rsid w:val="407C40D2"/>
    <w:rsid w:val="413564CB"/>
    <w:rsid w:val="419613E9"/>
    <w:rsid w:val="41C34462"/>
    <w:rsid w:val="422449A5"/>
    <w:rsid w:val="43F76856"/>
    <w:rsid w:val="44574932"/>
    <w:rsid w:val="45616523"/>
    <w:rsid w:val="46961390"/>
    <w:rsid w:val="46D064A5"/>
    <w:rsid w:val="49B715A8"/>
    <w:rsid w:val="4BEA6E11"/>
    <w:rsid w:val="4CEC1DCF"/>
    <w:rsid w:val="4D832888"/>
    <w:rsid w:val="4E55320A"/>
    <w:rsid w:val="4F2F65F9"/>
    <w:rsid w:val="50306C0B"/>
    <w:rsid w:val="508C69F3"/>
    <w:rsid w:val="50A82C45"/>
    <w:rsid w:val="510D7AA7"/>
    <w:rsid w:val="51AB00C0"/>
    <w:rsid w:val="52FD7A90"/>
    <w:rsid w:val="544E3085"/>
    <w:rsid w:val="54BB2F47"/>
    <w:rsid w:val="558E174B"/>
    <w:rsid w:val="56616ACC"/>
    <w:rsid w:val="56BD366E"/>
    <w:rsid w:val="57EF6BD3"/>
    <w:rsid w:val="586453DA"/>
    <w:rsid w:val="59902BA7"/>
    <w:rsid w:val="5AA97BF3"/>
    <w:rsid w:val="5D5B252A"/>
    <w:rsid w:val="5DC2540A"/>
    <w:rsid w:val="5E5C016C"/>
    <w:rsid w:val="5EAD76E2"/>
    <w:rsid w:val="5EB82351"/>
    <w:rsid w:val="602A71D2"/>
    <w:rsid w:val="60865160"/>
    <w:rsid w:val="61C745C1"/>
    <w:rsid w:val="62052429"/>
    <w:rsid w:val="643D3FEF"/>
    <w:rsid w:val="662D1831"/>
    <w:rsid w:val="6A2F6261"/>
    <w:rsid w:val="6A63297A"/>
    <w:rsid w:val="6E870F92"/>
    <w:rsid w:val="6ECD55A7"/>
    <w:rsid w:val="707D0CC5"/>
    <w:rsid w:val="710F5169"/>
    <w:rsid w:val="711876F5"/>
    <w:rsid w:val="714621FB"/>
    <w:rsid w:val="71BF2C84"/>
    <w:rsid w:val="72A72905"/>
    <w:rsid w:val="72DE2E47"/>
    <w:rsid w:val="742046D1"/>
    <w:rsid w:val="744F4568"/>
    <w:rsid w:val="759F7381"/>
    <w:rsid w:val="77E45FA0"/>
    <w:rsid w:val="78F338C1"/>
    <w:rsid w:val="79064F14"/>
    <w:rsid w:val="790C5967"/>
    <w:rsid w:val="7BCC657D"/>
    <w:rsid w:val="7D1D5C9D"/>
    <w:rsid w:val="7E57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100" w:beforeAutospacing="1" w:after="100" w:afterAutospacing="1"/>
    </w:pPr>
    <w:rPr>
      <w:rFonts w:ascii="宋体" w:hAnsi="宋体" w:cs="宋体"/>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Times New Roman" w:hAnsi="Times New Roman" w:eastAsia="Times New Roman" w:cs="Times New Roman"/>
      <w:sz w:val="24"/>
      <w:szCs w:val="24"/>
    </w:rPr>
  </w:style>
  <w:style w:type="paragraph" w:customStyle="1" w:styleId="10">
    <w:name w:val="Revision"/>
    <w:hidden/>
    <w:unhideWhenUsed/>
    <w:qFormat/>
    <w:uiPriority w:val="99"/>
    <w:rPr>
      <w:rFonts w:ascii="Arial" w:hAnsi="Arial" w:eastAsia="Arial" w:cs="Arial"/>
      <w:snapToGrid w:val="0"/>
      <w:color w:val="000000"/>
      <w:sz w:val="21"/>
      <w:szCs w:val="21"/>
      <w:lang w:val="en-US" w:eastAsia="en-US" w:bidi="ar-SA"/>
    </w:rPr>
  </w:style>
  <w:style w:type="paragraph" w:customStyle="1" w:styleId="11">
    <w:name w:val="公文正文"/>
    <w:basedOn w:val="1"/>
    <w:qFormat/>
    <w:uiPriority w:val="0"/>
    <w:pPr>
      <w:keepNext w:val="0"/>
      <w:keepLines w:val="0"/>
      <w:widowControl w:val="0"/>
      <w:suppressLineNumbers w:val="0"/>
      <w:spacing w:line="560" w:lineRule="exact"/>
      <w:ind w:left="200" w:leftChars="200"/>
      <w:jc w:val="both"/>
    </w:pPr>
    <w:rPr>
      <w:rFonts w:hint="default" w:ascii="Times New Roman" w:hAnsi="Times New Roman" w:eastAsia="仿宋_GB2312" w:cs="Times New Roman"/>
      <w:kern w:val="2"/>
      <w:sz w:val="32"/>
      <w:szCs w:val="32"/>
      <w:lang w:val="en-US" w:eastAsia="zh-CN" w:bidi="ar"/>
    </w:rPr>
  </w:style>
  <w:style w:type="paragraph" w:customStyle="1" w:styleId="12">
    <w:name w:val="标题1"/>
    <w:basedOn w:val="1"/>
    <w:next w:val="1"/>
    <w:qFormat/>
    <w:uiPriority w:val="0"/>
    <w:pPr>
      <w:tabs>
        <w:tab w:val="left" w:pos="9193"/>
        <w:tab w:val="left" w:pos="9827"/>
      </w:tabs>
      <w:spacing w:line="640" w:lineRule="atLeast"/>
      <w:ind w:firstLine="0"/>
      <w:jc w:val="center"/>
    </w:pPr>
    <w:rPr>
      <w:rFonts w:eastAsia="方正小标宋_GBK"/>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1479</Words>
  <Characters>1713</Characters>
  <Lines>171</Lines>
  <Paragraphs>48</Paragraphs>
  <TotalTime>11</TotalTime>
  <ScaleCrop>false</ScaleCrop>
  <LinksUpToDate>false</LinksUpToDate>
  <CharactersWithSpaces>1721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2023-09-19T16:08:00Z</dcterms:created>
  <dc:creator>tqr</dc:creator>
  <cp:lastModifiedBy>dell</cp:lastModifiedBy>
  <cp:lastPrinted>2025-10-10T04:37:00Z</cp:lastPrinted>
  <dcterms:modified xsi:type="dcterms:W3CDTF">2025-11-07T07:32:58Z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2024-06-18T16:04:48Z</vt:filetime>
  </property>
  <property fmtid="{D5CDD505-2E9C-101B-9397-08002B2CF9AE}" pid="4" name="KSOProductBuildVer">
    <vt:lpwstr>2052-12.1.0.23542</vt:lpwstr>
  </property>
  <property fmtid="{D5CDD505-2E9C-101B-9397-08002B2CF9AE}" pid="5" name="ICV">
    <vt:lpwstr>B253D3828C0A4BE489519CC2A6FF0A62_13</vt:lpwstr>
  </property>
  <property fmtid="{D5CDD505-2E9C-101B-9397-08002B2CF9AE}" pid="6" name="KSOTemplateDocerSaveRecord">
    <vt:lpwstr>eyJoZGlkIjoiNmRlYjZmZjRlYTg3YTVlYWJjZDM3NmM3MTIzNGZjZGQifQ==</vt:lpwstr>
  </property>
</Properties>
</file>